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E072E" w14:textId="77777777" w:rsidR="00191FE3" w:rsidRDefault="00191FE3" w:rsidP="00191FE3">
      <w:pPr>
        <w:jc w:val="right"/>
        <w:rPr>
          <w:rFonts w:ascii="Songti SC" w:eastAsia="Songti SC" w:hAnsi="Songti SC"/>
        </w:rPr>
      </w:pPr>
      <w:r>
        <w:rPr>
          <w:rFonts w:ascii="Songti SC" w:eastAsia="Songti SC" w:hAnsi="Songti SC"/>
        </w:rPr>
        <w:t>中国能源模型论坛研究报告</w:t>
      </w:r>
    </w:p>
    <w:p w14:paraId="41963A57" w14:textId="77777777" w:rsidR="00191FE3" w:rsidRPr="002B0809" w:rsidRDefault="00191FE3" w:rsidP="00191FE3">
      <w:pPr>
        <w:jc w:val="right"/>
        <w:rPr>
          <w:rFonts w:ascii="Songti SC" w:eastAsia="Songti SC" w:hAnsi="Songti SC"/>
        </w:rPr>
      </w:pPr>
      <w:r>
        <w:rPr>
          <w:rFonts w:ascii="Songti SC" w:eastAsia="Songti SC" w:hAnsi="Songti SC" w:hint="eastAsia"/>
        </w:rPr>
        <w:t>第</w:t>
      </w:r>
      <w:r>
        <w:rPr>
          <w:rFonts w:ascii="Songti SC" w:eastAsia="Songti SC" w:hAnsi="Songti SC"/>
        </w:rPr>
        <w:t>9</w:t>
      </w:r>
      <w:r>
        <w:rPr>
          <w:rFonts w:ascii="Songti SC" w:eastAsia="Songti SC" w:hAnsi="Songti SC" w:hint="eastAsia"/>
        </w:rPr>
        <w:t>期</w:t>
      </w:r>
    </w:p>
    <w:p w14:paraId="3B48F226" w14:textId="77777777" w:rsidR="00191FE3" w:rsidRPr="002B0809" w:rsidRDefault="00191FE3" w:rsidP="00191FE3">
      <w:pPr>
        <w:rPr>
          <w:rFonts w:ascii="Songti SC" w:eastAsia="Songti SC" w:hAnsi="Songti SC"/>
        </w:rPr>
      </w:pPr>
    </w:p>
    <w:p w14:paraId="787E6DC6" w14:textId="77777777" w:rsidR="00191FE3" w:rsidRPr="002B0809" w:rsidRDefault="00191FE3" w:rsidP="00191FE3">
      <w:pPr>
        <w:rPr>
          <w:rFonts w:ascii="Songti SC" w:eastAsia="Songti SC" w:hAnsi="Songti SC"/>
        </w:rPr>
      </w:pPr>
    </w:p>
    <w:p w14:paraId="25463A32" w14:textId="77777777" w:rsidR="00191FE3" w:rsidRPr="002B0809" w:rsidRDefault="00191FE3" w:rsidP="00191FE3">
      <w:pPr>
        <w:rPr>
          <w:rFonts w:ascii="Songti SC" w:eastAsia="Songti SC" w:hAnsi="Songti SC"/>
        </w:rPr>
      </w:pPr>
    </w:p>
    <w:p w14:paraId="12334DFC" w14:textId="77777777" w:rsidR="00191FE3" w:rsidRPr="002B0809" w:rsidRDefault="00191FE3" w:rsidP="00191FE3">
      <w:pPr>
        <w:rPr>
          <w:rFonts w:ascii="Songti SC" w:eastAsia="Songti SC" w:hAnsi="Songti SC"/>
        </w:rPr>
      </w:pPr>
    </w:p>
    <w:p w14:paraId="55436A67" w14:textId="77777777" w:rsidR="00191FE3" w:rsidRPr="002B0809" w:rsidRDefault="00191FE3" w:rsidP="00191FE3">
      <w:pPr>
        <w:rPr>
          <w:rFonts w:ascii="Songti SC" w:eastAsia="Songti SC" w:hAnsi="Songti SC"/>
        </w:rPr>
      </w:pPr>
    </w:p>
    <w:p w14:paraId="1939A731" w14:textId="77777777" w:rsidR="00E11B81" w:rsidRDefault="00E11B81" w:rsidP="00191FE3">
      <w:pPr>
        <w:jc w:val="center"/>
        <w:rPr>
          <w:rFonts w:ascii="Songti SC" w:eastAsia="Songti SC" w:hAnsi="Songti SC"/>
          <w:sz w:val="44"/>
          <w:szCs w:val="44"/>
        </w:rPr>
      </w:pPr>
      <w:r w:rsidRPr="00E11B81">
        <w:rPr>
          <w:rFonts w:ascii="Songti SC" w:eastAsia="Songti SC" w:hAnsi="Songti SC" w:hint="eastAsia"/>
          <w:sz w:val="44"/>
          <w:szCs w:val="44"/>
        </w:rPr>
        <w:t>基于R模型的</w:t>
      </w:r>
    </w:p>
    <w:p w14:paraId="7554E9C8" w14:textId="53CFB826" w:rsidR="00191FE3" w:rsidRDefault="00E11B81" w:rsidP="00191FE3">
      <w:pPr>
        <w:jc w:val="center"/>
        <w:rPr>
          <w:rFonts w:ascii="Songti SC" w:eastAsia="Songti SC" w:hAnsi="Songti SC"/>
          <w:sz w:val="44"/>
          <w:szCs w:val="44"/>
        </w:rPr>
      </w:pPr>
      <w:r w:rsidRPr="00E11B81">
        <w:rPr>
          <w:rFonts w:ascii="Songti SC" w:eastAsia="Songti SC" w:hAnsi="Songti SC" w:hint="eastAsia"/>
          <w:sz w:val="44"/>
          <w:szCs w:val="44"/>
        </w:rPr>
        <w:t>中国煤炭行业CO2排放峰值的研究</w:t>
      </w:r>
    </w:p>
    <w:p w14:paraId="62D8703B" w14:textId="229C180F" w:rsidR="00E11B81" w:rsidRPr="002B0809" w:rsidRDefault="00E11B81" w:rsidP="00191FE3">
      <w:pPr>
        <w:jc w:val="center"/>
        <w:rPr>
          <w:rFonts w:ascii="Songti SC" w:eastAsia="Songti SC" w:hAnsi="Songti SC"/>
          <w:sz w:val="44"/>
          <w:szCs w:val="44"/>
        </w:rPr>
      </w:pPr>
      <w:r>
        <w:rPr>
          <w:rFonts w:ascii="Songti SC" w:eastAsia="Songti SC" w:hAnsi="Songti SC" w:hint="eastAsia"/>
          <w:sz w:val="44"/>
          <w:szCs w:val="44"/>
        </w:rPr>
        <w:t>报告</w:t>
      </w:r>
      <w:r>
        <w:rPr>
          <w:rFonts w:ascii="Songti SC" w:eastAsia="Songti SC" w:hAnsi="Songti SC"/>
          <w:sz w:val="44"/>
          <w:szCs w:val="44"/>
        </w:rPr>
        <w:t>摘要</w:t>
      </w:r>
    </w:p>
    <w:p w14:paraId="55999C82" w14:textId="77777777" w:rsidR="00191FE3" w:rsidRPr="002B0809" w:rsidRDefault="00191FE3" w:rsidP="00191FE3">
      <w:pPr>
        <w:rPr>
          <w:rFonts w:ascii="Songti SC" w:eastAsia="Songti SC" w:hAnsi="Songti SC"/>
          <w:sz w:val="44"/>
          <w:szCs w:val="44"/>
        </w:rPr>
      </w:pPr>
    </w:p>
    <w:p w14:paraId="01161500" w14:textId="77777777" w:rsidR="00191FE3" w:rsidRPr="002B0809" w:rsidRDefault="00191FE3" w:rsidP="00191FE3">
      <w:pPr>
        <w:rPr>
          <w:rFonts w:ascii="Songti SC" w:eastAsia="Songti SC" w:hAnsi="Songti SC"/>
          <w:sz w:val="44"/>
          <w:szCs w:val="44"/>
        </w:rPr>
      </w:pPr>
    </w:p>
    <w:p w14:paraId="47305872" w14:textId="77777777" w:rsidR="00191FE3" w:rsidRPr="002B0809" w:rsidRDefault="00191FE3" w:rsidP="00191FE3">
      <w:pPr>
        <w:rPr>
          <w:rFonts w:ascii="Songti SC" w:eastAsia="Songti SC" w:hAnsi="Songti SC"/>
          <w:sz w:val="44"/>
          <w:szCs w:val="44"/>
        </w:rPr>
      </w:pPr>
    </w:p>
    <w:p w14:paraId="24BDF724" w14:textId="77777777" w:rsidR="00191FE3" w:rsidRPr="002B0809" w:rsidRDefault="00191FE3" w:rsidP="00191FE3">
      <w:pPr>
        <w:rPr>
          <w:rFonts w:ascii="Songti SC" w:eastAsia="Songti SC" w:hAnsi="Songti SC"/>
          <w:sz w:val="44"/>
          <w:szCs w:val="44"/>
        </w:rPr>
      </w:pPr>
    </w:p>
    <w:p w14:paraId="26BEEA55" w14:textId="77777777" w:rsidR="00191FE3" w:rsidRPr="002B0809" w:rsidRDefault="00191FE3" w:rsidP="00191FE3">
      <w:pPr>
        <w:rPr>
          <w:rFonts w:ascii="Songti SC" w:eastAsia="Songti SC" w:hAnsi="Songti SC"/>
          <w:sz w:val="44"/>
          <w:szCs w:val="44"/>
        </w:rPr>
      </w:pPr>
    </w:p>
    <w:p w14:paraId="053098F2" w14:textId="77777777" w:rsidR="00191FE3" w:rsidRPr="002B0809" w:rsidRDefault="00191FE3" w:rsidP="00191FE3">
      <w:pPr>
        <w:rPr>
          <w:rFonts w:ascii="Songti SC" w:eastAsia="Songti SC" w:hAnsi="Songti SC"/>
          <w:sz w:val="44"/>
          <w:szCs w:val="44"/>
        </w:rPr>
      </w:pPr>
    </w:p>
    <w:p w14:paraId="34683C21" w14:textId="77777777" w:rsidR="00191FE3" w:rsidRDefault="00191FE3" w:rsidP="00191FE3">
      <w:pPr>
        <w:rPr>
          <w:rFonts w:ascii="Songti SC" w:eastAsia="Songti SC" w:hAnsi="Songti SC"/>
          <w:sz w:val="44"/>
          <w:szCs w:val="44"/>
        </w:rPr>
        <w:sectPr w:rsidR="00191FE3" w:rsidSect="00756F7A">
          <w:footerReference w:type="default" r:id="rId8"/>
          <w:pgSz w:w="12240" w:h="15840"/>
          <w:pgMar w:top="1440" w:right="1440" w:bottom="1440" w:left="1440" w:header="720" w:footer="720" w:gutter="0"/>
          <w:pgNumType w:start="0"/>
          <w:cols w:space="720"/>
          <w:titlePg/>
          <w:docGrid w:linePitch="360"/>
        </w:sectPr>
      </w:pPr>
    </w:p>
    <w:p w14:paraId="1DD78B04" w14:textId="77777777" w:rsidR="00191FE3" w:rsidRDefault="00191FE3" w:rsidP="00191FE3">
      <w:pPr>
        <w:rPr>
          <w:rFonts w:ascii="Songti SC" w:eastAsia="Songti SC" w:hAnsi="Songti SC"/>
          <w:sz w:val="44"/>
          <w:szCs w:val="44"/>
        </w:rPr>
      </w:pPr>
    </w:p>
    <w:p w14:paraId="70FCE7CD" w14:textId="77777777" w:rsidR="00191FE3" w:rsidRDefault="00191FE3" w:rsidP="00191FE3">
      <w:pPr>
        <w:rPr>
          <w:rFonts w:ascii="Songti SC" w:eastAsia="Songti SC" w:hAnsi="Songti SC"/>
          <w:sz w:val="44"/>
          <w:szCs w:val="44"/>
        </w:rPr>
      </w:pPr>
    </w:p>
    <w:p w14:paraId="31558B06" w14:textId="77777777" w:rsidR="00191FE3" w:rsidRPr="001B337D" w:rsidRDefault="00191FE3" w:rsidP="00191FE3">
      <w:pPr>
        <w:jc w:val="right"/>
        <w:rPr>
          <w:rFonts w:ascii="Songti SC" w:eastAsia="Songti SC" w:hAnsi="Songti SC"/>
          <w:sz w:val="28"/>
          <w:szCs w:val="28"/>
        </w:rPr>
      </w:pPr>
      <w:r w:rsidRPr="001B337D">
        <w:rPr>
          <w:rFonts w:ascii="Songti SC" w:eastAsia="Songti SC" w:hAnsi="Songti SC" w:hint="eastAsia"/>
          <w:sz w:val="28"/>
          <w:szCs w:val="28"/>
        </w:rPr>
        <w:t>中国能源模型论坛主题研究</w:t>
      </w:r>
      <w:r w:rsidRPr="001B337D">
        <w:rPr>
          <w:rFonts w:ascii="Songti SC" w:eastAsia="Songti SC" w:hAnsi="Songti SC"/>
          <w:sz w:val="28"/>
          <w:szCs w:val="28"/>
        </w:rPr>
        <w:t>1（</w:t>
      </w:r>
      <w:r w:rsidRPr="001B337D">
        <w:rPr>
          <w:rFonts w:ascii="Songti SC" w:eastAsia="Songti SC" w:hAnsi="Songti SC" w:hint="eastAsia"/>
          <w:sz w:val="28"/>
          <w:szCs w:val="28"/>
        </w:rPr>
        <w:t>CEMF</w:t>
      </w:r>
      <w:r w:rsidRPr="001B337D">
        <w:rPr>
          <w:rFonts w:ascii="Songti SC" w:eastAsia="Songti SC" w:hAnsi="Songti SC"/>
          <w:sz w:val="28"/>
          <w:szCs w:val="28"/>
        </w:rPr>
        <w:t>01）</w:t>
      </w:r>
    </w:p>
    <w:p w14:paraId="39C34038" w14:textId="77777777" w:rsidR="00191FE3" w:rsidRPr="001B337D" w:rsidRDefault="00191FE3" w:rsidP="00191FE3">
      <w:pPr>
        <w:jc w:val="right"/>
        <w:rPr>
          <w:rFonts w:ascii="Songti SC" w:eastAsia="Songti SC" w:hAnsi="Songti SC"/>
          <w:sz w:val="28"/>
          <w:szCs w:val="28"/>
        </w:rPr>
      </w:pPr>
      <w:r w:rsidRPr="00DE75C2">
        <w:rPr>
          <w:rFonts w:ascii="Songti SC" w:eastAsia="Songti SC" w:hAnsi="Songti SC" w:hint="eastAsia"/>
          <w:sz w:val="28"/>
          <w:szCs w:val="28"/>
        </w:rPr>
        <w:t>2017年</w:t>
      </w:r>
      <w:r w:rsidRPr="00DE75C2">
        <w:rPr>
          <w:rFonts w:ascii="Songti SC" w:eastAsia="Songti SC" w:hAnsi="Songti SC"/>
          <w:sz w:val="28"/>
          <w:szCs w:val="28"/>
        </w:rPr>
        <w:t>6</w:t>
      </w:r>
      <w:r w:rsidRPr="00DE75C2">
        <w:rPr>
          <w:rFonts w:ascii="Songti SC" w:eastAsia="Songti SC" w:hAnsi="Songti SC" w:hint="eastAsia"/>
          <w:sz w:val="28"/>
          <w:szCs w:val="28"/>
        </w:rPr>
        <w:t>月</w:t>
      </w:r>
    </w:p>
    <w:p w14:paraId="1283726C" w14:textId="77777777" w:rsidR="00191FE3" w:rsidRDefault="00191FE3" w:rsidP="00191FE3">
      <w:pPr>
        <w:rPr>
          <w:rFonts w:ascii="Songti SC" w:eastAsia="Songti SC" w:hAnsi="Songti SC"/>
          <w:sz w:val="44"/>
          <w:szCs w:val="44"/>
        </w:rPr>
      </w:pPr>
    </w:p>
    <w:p w14:paraId="57C9570D" w14:textId="77777777" w:rsidR="00191FE3" w:rsidRDefault="00191FE3" w:rsidP="00191FE3">
      <w:pPr>
        <w:rPr>
          <w:rFonts w:ascii="Songti SC" w:eastAsia="Songti SC" w:hAnsi="Songti SC"/>
          <w:sz w:val="44"/>
          <w:szCs w:val="44"/>
        </w:rPr>
      </w:pPr>
    </w:p>
    <w:p w14:paraId="621D61F1" w14:textId="77777777" w:rsidR="00191FE3" w:rsidRDefault="00B91CAD" w:rsidP="00191FE3">
      <w:pPr>
        <w:rPr>
          <w:rFonts w:ascii="Songti SC" w:eastAsia="Songti SC" w:hAnsi="Songti SC"/>
          <w:sz w:val="44"/>
          <w:szCs w:val="44"/>
        </w:rPr>
      </w:pPr>
      <w:r>
        <w:rPr>
          <w:noProof/>
        </w:rPr>
        <w:pict w14:anchorId="09843E95">
          <v:line id="直线连接符 4" o:spid="_x0000_s2051"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25pt,11.1pt" to="484.65pt,11.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" strokecolor="#4a7ebb" strokeweight="3.75pt"/>
        </w:pict>
      </w:r>
    </w:p>
    <w:p w14:paraId="3E3F7FD7" w14:textId="77777777" w:rsidR="00E11B81" w:rsidRDefault="00E11B81" w:rsidP="00E11B81">
      <w:pPr>
        <w:jc w:val="center"/>
        <w:rPr>
          <w:rFonts w:ascii="Songti SC" w:eastAsia="Songti SC" w:hAnsi="Songti SC"/>
          <w:sz w:val="44"/>
          <w:szCs w:val="44"/>
        </w:rPr>
      </w:pPr>
      <w:r w:rsidRPr="00E11B81">
        <w:rPr>
          <w:rFonts w:ascii="Songti SC" w:eastAsia="Songti SC" w:hAnsi="Songti SC" w:hint="eastAsia"/>
          <w:sz w:val="44"/>
          <w:szCs w:val="44"/>
        </w:rPr>
        <w:t>基于R模型的</w:t>
      </w:r>
    </w:p>
    <w:p w14:paraId="5A2F2723" w14:textId="2AE52E69" w:rsidR="00191FE3" w:rsidRDefault="00E11B81" w:rsidP="00E11B81">
      <w:pPr>
        <w:jc w:val="center"/>
        <w:rPr>
          <w:rFonts w:ascii="Songti SC" w:eastAsia="Songti SC" w:hAnsi="Songti SC"/>
          <w:sz w:val="44"/>
          <w:szCs w:val="44"/>
        </w:rPr>
      </w:pPr>
      <w:r w:rsidRPr="00E11B81">
        <w:rPr>
          <w:rFonts w:ascii="Songti SC" w:eastAsia="Songti SC" w:hAnsi="Songti SC" w:hint="eastAsia"/>
          <w:sz w:val="44"/>
          <w:szCs w:val="44"/>
        </w:rPr>
        <w:t>中国煤炭行业CO2排放峰值的研究</w:t>
      </w:r>
    </w:p>
    <w:p w14:paraId="5DFD4234" w14:textId="77777777" w:rsidR="00191FE3" w:rsidRDefault="00B91CAD" w:rsidP="00191FE3">
      <w:pPr>
        <w:rPr>
          <w:rFonts w:ascii="Songti SC" w:eastAsia="Songti SC" w:hAnsi="Songti SC"/>
          <w:sz w:val="44"/>
          <w:szCs w:val="44"/>
        </w:rPr>
      </w:pPr>
      <w:r>
        <w:rPr>
          <w:noProof/>
        </w:rPr>
        <w:pict w14:anchorId="7EAF6EBE">
          <v:line id="直线连接符 2" o:spid="_x0000_s2050"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10.75pt,16.45pt" to="475.1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" strokecolor="#4a7ebb" strokeweight="3.75pt"/>
        </w:pict>
      </w:r>
    </w:p>
    <w:p w14:paraId="57E1B296" w14:textId="035D273C" w:rsidR="00191FE3" w:rsidRDefault="00E11B81" w:rsidP="00E11B81">
      <w:pPr>
        <w:pStyle w:val="CU"/>
        <w:spacing w:before="120"/>
        <w:ind w:firstLine="612"/>
        <w:rPr>
          <w:sz w:val="30"/>
          <w:szCs w:val="30"/>
        </w:rPr>
      </w:pPr>
      <w:r w:rsidRPr="00021A5E">
        <w:rPr>
          <w:rFonts w:hint="eastAsia"/>
          <w:sz w:val="30"/>
          <w:szCs w:val="30"/>
        </w:rPr>
        <w:t>中国矿业大学（北京）资源与环境政策研究中心</w:t>
      </w:r>
      <w:r>
        <w:rPr>
          <w:sz w:val="30"/>
          <w:szCs w:val="30"/>
        </w:rPr>
        <w:t>团队</w:t>
      </w:r>
    </w:p>
    <w:p w14:paraId="636772A3" w14:textId="39FEE9D3" w:rsidR="00E11B81" w:rsidRDefault="00E11B81" w:rsidP="00E11B81">
      <w:pPr>
        <w:jc w:val="center"/>
        <w:rPr>
          <w:rFonts w:ascii="Songti SC" w:eastAsia="Songti SC" w:hAnsi="Songti SC"/>
          <w:sz w:val="44"/>
          <w:szCs w:val="44"/>
        </w:rPr>
      </w:pPr>
      <w:r>
        <w:rPr>
          <w:rFonts w:hint="eastAsia"/>
          <w:sz w:val="30"/>
          <w:szCs w:val="30"/>
        </w:rPr>
        <w:t>徐向阳</w:t>
      </w:r>
      <w:r>
        <w:rPr>
          <w:sz w:val="30"/>
          <w:szCs w:val="30"/>
        </w:rPr>
        <w:t>（中国矿业大学（北京）教授）</w:t>
      </w:r>
    </w:p>
    <w:p w14:paraId="088CFB56" w14:textId="77777777" w:rsidR="00191FE3" w:rsidRDefault="00191FE3" w:rsidP="00191FE3">
      <w:pPr>
        <w:rPr>
          <w:rFonts w:ascii="Songti SC" w:eastAsia="Songti SC" w:hAnsi="Songti SC"/>
          <w:sz w:val="44"/>
          <w:szCs w:val="44"/>
        </w:rPr>
      </w:pPr>
    </w:p>
    <w:p w14:paraId="2392D9BA" w14:textId="77777777" w:rsidR="00191FE3" w:rsidRDefault="00191FE3" w:rsidP="00191FE3">
      <w:pPr>
        <w:rPr>
          <w:rFonts w:ascii="Songti SC" w:eastAsia="Songti SC" w:hAnsi="Songti SC"/>
          <w:sz w:val="44"/>
          <w:szCs w:val="44"/>
        </w:rPr>
      </w:pPr>
    </w:p>
    <w:p w14:paraId="53B772FC" w14:textId="77777777" w:rsidR="00191FE3" w:rsidRPr="00522BEE" w:rsidRDefault="00191FE3" w:rsidP="00191FE3">
      <w:pPr>
        <w:jc w:val="center"/>
        <w:rPr>
          <w:rFonts w:ascii="Songti SC" w:eastAsia="Songti SC" w:hAnsi="Songti SC"/>
          <w:sz w:val="32"/>
          <w:szCs w:val="32"/>
        </w:rPr>
      </w:pPr>
      <w:r w:rsidRPr="00522BEE">
        <w:rPr>
          <w:rFonts w:ascii="Songti SC" w:eastAsia="Songti SC" w:hAnsi="Songti SC" w:hint="eastAsia"/>
          <w:sz w:val="32"/>
          <w:szCs w:val="32"/>
        </w:rPr>
        <w:t>中国</w:t>
      </w:r>
      <w:r w:rsidRPr="00522BEE">
        <w:rPr>
          <w:rFonts w:ascii="Songti SC" w:eastAsia="Songti SC" w:hAnsi="Songti SC"/>
          <w:sz w:val="32"/>
          <w:szCs w:val="32"/>
        </w:rPr>
        <w:t>能源模型论坛</w:t>
      </w:r>
      <w:r>
        <w:rPr>
          <w:rFonts w:ascii="Songti SC" w:eastAsia="Songti SC" w:hAnsi="Songti SC"/>
          <w:sz w:val="32"/>
          <w:szCs w:val="32"/>
        </w:rPr>
        <w:t>（</w:t>
      </w:r>
      <w:r>
        <w:rPr>
          <w:rFonts w:ascii="Songti SC" w:eastAsia="Songti SC" w:hAnsi="Songti SC" w:hint="eastAsia"/>
          <w:sz w:val="32"/>
          <w:szCs w:val="32"/>
        </w:rPr>
        <w:t>CEMF</w:t>
      </w:r>
      <w:r>
        <w:rPr>
          <w:rFonts w:ascii="Songti SC" w:eastAsia="Songti SC" w:hAnsi="Songti SC"/>
          <w:sz w:val="32"/>
          <w:szCs w:val="32"/>
        </w:rPr>
        <w:t>）</w:t>
      </w:r>
    </w:p>
    <w:p w14:paraId="3FC31326" w14:textId="77777777" w:rsidR="00191FE3" w:rsidRDefault="00191FE3" w:rsidP="00191FE3">
      <w:pPr>
        <w:jc w:val="center"/>
        <w:rPr>
          <w:rFonts w:ascii="Songti SC" w:eastAsia="Songti SC" w:hAnsi="Songti SC"/>
          <w:sz w:val="44"/>
          <w:szCs w:val="44"/>
        </w:rPr>
      </w:pPr>
      <w:r w:rsidRPr="00522BEE">
        <w:rPr>
          <w:rFonts w:ascii="Songti SC" w:eastAsia="Songti SC" w:hAnsi="Songti SC" w:hint="eastAsia"/>
          <w:sz w:val="32"/>
          <w:szCs w:val="32"/>
        </w:rPr>
        <w:t>清华大学</w:t>
      </w:r>
    </w:p>
    <w:p w14:paraId="39C27E55" w14:textId="77777777" w:rsidR="00191FE3" w:rsidRDefault="00191FE3" w:rsidP="00191FE3">
      <w:pPr>
        <w:rPr>
          <w:rFonts w:ascii="Songti SC" w:eastAsia="Songti SC" w:hAnsi="Songti SC"/>
          <w:sz w:val="44"/>
          <w:szCs w:val="44"/>
        </w:rPr>
      </w:pPr>
    </w:p>
    <w:p w14:paraId="7575616F" w14:textId="77777777" w:rsidR="00191FE3" w:rsidRPr="002B0809" w:rsidRDefault="00191FE3" w:rsidP="00191FE3">
      <w:pPr>
        <w:rPr>
          <w:rFonts w:ascii="Songti SC" w:eastAsia="Songti SC" w:hAnsi="Songti SC"/>
        </w:rPr>
      </w:pPr>
      <w:r w:rsidRPr="002B0809">
        <w:rPr>
          <w:rFonts w:ascii="Songti SC" w:eastAsia="Songti SC" w:hAnsi="Songti SC"/>
          <w:sz w:val="44"/>
          <w:szCs w:val="44"/>
        </w:rPr>
        <w:t xml:space="preserve">                  </w:t>
      </w:r>
    </w:p>
    <w:p w14:paraId="3327E85F" w14:textId="77777777" w:rsidR="00191FE3" w:rsidRDefault="00191FE3" w:rsidP="00191FE3">
      <w:pPr>
        <w:pStyle w:val="af"/>
        <w:ind w:firstLineChars="200" w:firstLine="560"/>
        <w:rPr>
          <w:rFonts w:hAnsi="宋体" w:cs="宋体"/>
          <w:sz w:val="28"/>
          <w:szCs w:val="28"/>
        </w:rPr>
        <w:sectPr w:rsidR="00191FE3" w:rsidSect="00166146">
          <w:footerReference w:type="first" r:id="rId9"/>
          <w:pgSz w:w="12240" w:h="15840" w:code="195"/>
          <w:pgMar w:top="1247" w:right="1247" w:bottom="1247" w:left="1247" w:header="851" w:footer="737" w:gutter="0"/>
          <w:pgNumType w:start="0"/>
          <w:cols w:space="720"/>
          <w:docGrid w:linePitch="360"/>
        </w:sectPr>
      </w:pPr>
    </w:p>
    <w:p w14:paraId="004E730F" w14:textId="77777777" w:rsidR="00191FE3" w:rsidRPr="00E40234" w:rsidRDefault="00191FE3" w:rsidP="00191FE3">
      <w:pPr>
        <w:pStyle w:val="af"/>
        <w:ind w:firstLineChars="200" w:firstLine="560"/>
        <w:rPr>
          <w:rFonts w:hAnsi="宋体" w:cs="宋体"/>
          <w:sz w:val="30"/>
          <w:szCs w:val="30"/>
        </w:rPr>
      </w:pPr>
      <w:r>
        <w:rPr>
          <w:rFonts w:hAnsi="宋体" w:cs="宋体"/>
          <w:sz w:val="28"/>
          <w:szCs w:val="28"/>
        </w:rPr>
        <w:lastRenderedPageBreak/>
        <w:t>【编者按】</w:t>
      </w:r>
      <w:r w:rsidRPr="00540E61">
        <w:rPr>
          <w:rFonts w:hAnsi="宋体" w:cs="宋体" w:hint="eastAsia"/>
          <w:sz w:val="28"/>
          <w:szCs w:val="28"/>
        </w:rPr>
        <w:t>随着《巴黎协定》的达成，全球应对气候变化的框架初步形成。</w:t>
      </w:r>
      <w:r w:rsidRPr="00540E61">
        <w:rPr>
          <w:rFonts w:hAnsi="宋体" w:cs="宋体"/>
          <w:sz w:val="28"/>
          <w:szCs w:val="28"/>
        </w:rPr>
        <w:t>我国正处于</w:t>
      </w:r>
      <w:r w:rsidRPr="00540E61">
        <w:rPr>
          <w:rFonts w:hAnsi="宋体" w:cs="宋体" w:hint="eastAsia"/>
          <w:sz w:val="28"/>
          <w:szCs w:val="28"/>
        </w:rPr>
        <w:t>新的五年计划规划阶段，面临着</w:t>
      </w:r>
      <w:r w:rsidRPr="00540E61">
        <w:rPr>
          <w:rFonts w:hAnsi="宋体" w:cs="宋体"/>
          <w:sz w:val="28"/>
          <w:szCs w:val="28"/>
        </w:rPr>
        <w:t>来自</w:t>
      </w:r>
      <w:r w:rsidRPr="00540E61">
        <w:rPr>
          <w:rFonts w:hAnsi="宋体" w:cs="宋体" w:hint="eastAsia"/>
          <w:sz w:val="28"/>
          <w:szCs w:val="28"/>
        </w:rPr>
        <w:t>经济增长、能源</w:t>
      </w:r>
      <w:r w:rsidRPr="00540E61">
        <w:rPr>
          <w:rFonts w:hAnsi="宋体" w:cs="宋体"/>
          <w:sz w:val="28"/>
          <w:szCs w:val="28"/>
        </w:rPr>
        <w:t>资源约束</w:t>
      </w:r>
      <w:r w:rsidRPr="00540E61">
        <w:rPr>
          <w:rFonts w:hAnsi="宋体" w:cs="宋体" w:hint="eastAsia"/>
          <w:sz w:val="28"/>
          <w:szCs w:val="28"/>
        </w:rPr>
        <w:t>以及环境治理方面的重重考验。</w:t>
      </w:r>
      <w:r w:rsidRPr="00540E61">
        <w:rPr>
          <w:rFonts w:ascii="times" w:hAnsi="times" w:cs="times"/>
          <w:kern w:val="0"/>
          <w:sz w:val="28"/>
          <w:szCs w:val="28"/>
        </w:rPr>
        <w:t>如何在经济发展、能源消费与环境保护之间更好地决策</w:t>
      </w:r>
      <w:r>
        <w:rPr>
          <w:rFonts w:ascii="times" w:hAnsi="times" w:cs="times"/>
          <w:kern w:val="0"/>
          <w:sz w:val="28"/>
          <w:szCs w:val="28"/>
        </w:rPr>
        <w:t>，</w:t>
      </w:r>
      <w:r w:rsidRPr="00540E61">
        <w:rPr>
          <w:rFonts w:ascii="times" w:hAnsi="times" w:cs="times"/>
          <w:kern w:val="0"/>
          <w:sz w:val="28"/>
          <w:szCs w:val="28"/>
        </w:rPr>
        <w:t>并且在进行政治决策前有坚实的科学支持</w:t>
      </w:r>
      <w:r>
        <w:rPr>
          <w:rFonts w:ascii="times" w:hAnsi="times" w:cs="times"/>
          <w:kern w:val="0"/>
          <w:sz w:val="28"/>
          <w:szCs w:val="28"/>
        </w:rPr>
        <w:t>，</w:t>
      </w:r>
      <w:r w:rsidRPr="00E033E4">
        <w:rPr>
          <w:rFonts w:hAnsi="宋体" w:cs="宋体"/>
          <w:sz w:val="30"/>
          <w:szCs w:val="30"/>
        </w:rPr>
        <w:t>在进行宏观决</w:t>
      </w:r>
      <w:r w:rsidRPr="00540E61">
        <w:rPr>
          <w:rFonts w:ascii="times" w:hAnsi="times" w:cs="times"/>
          <w:kern w:val="0"/>
          <w:sz w:val="28"/>
          <w:szCs w:val="28"/>
        </w:rPr>
        <w:t>策前有能够直接指导工作的具体决策</w:t>
      </w:r>
      <w:r w:rsidRPr="00540E61">
        <w:rPr>
          <w:rFonts w:ascii="times" w:hAnsi="times" w:cs="times"/>
          <w:kern w:val="0"/>
          <w:sz w:val="28"/>
          <w:szCs w:val="28"/>
        </w:rPr>
        <w:t>?</w:t>
      </w:r>
      <w:r w:rsidRPr="00E40234">
        <w:rPr>
          <w:rFonts w:hAnsi="宋体" w:cs="宋体" w:hint="eastAsia"/>
          <w:sz w:val="30"/>
          <w:szCs w:val="30"/>
        </w:rPr>
        <w:t xml:space="preserve"> 中国能源模型论坛旨在运用并比较多种不同的能源经济模型，分析适合中国国情的能源及环境目标，探讨目标实现过程中的成本、相关效益及风险问题，明确影响目标实现的主要因素。</w:t>
      </w:r>
    </w:p>
    <w:p w14:paraId="5CA0B2A8" w14:textId="77777777" w:rsidR="00191FE3" w:rsidRDefault="00191FE3" w:rsidP="00191FE3">
      <w:pPr>
        <w:pStyle w:val="af"/>
        <w:ind w:firstLineChars="200" w:firstLine="600"/>
        <w:rPr>
          <w:rFonts w:hAnsi="宋体" w:cs="宋体"/>
          <w:sz w:val="30"/>
          <w:szCs w:val="30"/>
        </w:rPr>
      </w:pPr>
      <w:r>
        <w:rPr>
          <w:rFonts w:hAnsi="宋体" w:cs="宋体" w:hint="eastAsia"/>
          <w:sz w:val="30"/>
          <w:szCs w:val="30"/>
        </w:rPr>
        <w:t>中国能源模型论坛</w:t>
      </w:r>
      <w:r>
        <w:rPr>
          <w:rFonts w:hAnsi="宋体" w:cs="宋体"/>
          <w:sz w:val="30"/>
          <w:szCs w:val="30"/>
        </w:rPr>
        <w:t>主题研究一（</w:t>
      </w:r>
      <w:r>
        <w:rPr>
          <w:rFonts w:hAnsi="宋体" w:cs="宋体" w:hint="eastAsia"/>
          <w:sz w:val="30"/>
          <w:szCs w:val="30"/>
        </w:rPr>
        <w:t>CEMF</w:t>
      </w:r>
      <w:r>
        <w:rPr>
          <w:rFonts w:hAnsi="宋体" w:cs="宋体"/>
          <w:sz w:val="30"/>
          <w:szCs w:val="30"/>
        </w:rPr>
        <w:t>01）于2015</w:t>
      </w:r>
      <w:r>
        <w:rPr>
          <w:rFonts w:hAnsi="宋体" w:cs="宋体" w:hint="eastAsia"/>
          <w:sz w:val="30"/>
          <w:szCs w:val="30"/>
        </w:rPr>
        <w:t>年</w:t>
      </w:r>
      <w:r>
        <w:rPr>
          <w:rFonts w:hAnsi="宋体" w:cs="宋体"/>
          <w:sz w:val="30"/>
          <w:szCs w:val="30"/>
        </w:rPr>
        <w:t>底启动，</w:t>
      </w:r>
      <w:r>
        <w:rPr>
          <w:rFonts w:hAnsi="宋体" w:cs="宋体" w:hint="eastAsia"/>
          <w:sz w:val="30"/>
          <w:szCs w:val="30"/>
        </w:rPr>
        <w:t>研究</w:t>
      </w:r>
      <w:r>
        <w:rPr>
          <w:rFonts w:hAnsi="宋体" w:cs="宋体"/>
          <w:sz w:val="30"/>
          <w:szCs w:val="30"/>
        </w:rPr>
        <w:t>主题为“</w:t>
      </w:r>
      <w:r w:rsidRPr="00F06632">
        <w:rPr>
          <w:rFonts w:hAnsi="宋体" w:cs="宋体" w:hint="eastAsia"/>
          <w:sz w:val="30"/>
          <w:szCs w:val="30"/>
        </w:rPr>
        <w:t>巴黎协议，十三五规划目标和碳排放峰值-多模型比较研究</w:t>
      </w:r>
      <w:r>
        <w:rPr>
          <w:rFonts w:hAnsi="宋体" w:cs="宋体"/>
          <w:sz w:val="30"/>
          <w:szCs w:val="30"/>
        </w:rPr>
        <w:t>”。CEMF01基于</w:t>
      </w:r>
      <w:r w:rsidRPr="006614FB">
        <w:rPr>
          <w:rFonts w:hAnsi="宋体" w:cs="宋体" w:hint="eastAsia"/>
          <w:sz w:val="30"/>
          <w:szCs w:val="30"/>
        </w:rPr>
        <w:t>自上而下的CGE模型和</w:t>
      </w:r>
      <w:r w:rsidRPr="009B43A4">
        <w:rPr>
          <w:rFonts w:ascii="times" w:hAnsi="times" w:cs="times" w:hint="eastAsia"/>
          <w:kern w:val="0"/>
          <w:sz w:val="28"/>
          <w:szCs w:val="28"/>
        </w:rPr>
        <w:t>自下而上的</w:t>
      </w:r>
      <w:r w:rsidRPr="006614FB">
        <w:rPr>
          <w:rFonts w:hAnsi="宋体" w:cs="宋体" w:hint="eastAsia"/>
          <w:sz w:val="30"/>
          <w:szCs w:val="30"/>
        </w:rPr>
        <w:t>模型，</w:t>
      </w:r>
      <w:r>
        <w:rPr>
          <w:rFonts w:hAnsi="宋体" w:cs="宋体"/>
          <w:sz w:val="30"/>
          <w:szCs w:val="30"/>
        </w:rPr>
        <w:t>包括</w:t>
      </w:r>
      <w:r>
        <w:rPr>
          <w:rFonts w:hAnsi="宋体" w:cs="宋体" w:hint="eastAsia"/>
          <w:sz w:val="30"/>
          <w:szCs w:val="30"/>
        </w:rPr>
        <w:t>覆盖全经济</w:t>
      </w:r>
      <w:r w:rsidRPr="006614FB">
        <w:rPr>
          <w:rFonts w:hAnsi="宋体" w:cs="宋体" w:hint="eastAsia"/>
          <w:sz w:val="30"/>
          <w:szCs w:val="30"/>
        </w:rPr>
        <w:t>、全行业范围的，和侧重于单行业的模型。</w:t>
      </w:r>
      <w:r>
        <w:rPr>
          <w:rFonts w:hAnsi="宋体" w:cs="宋体"/>
          <w:sz w:val="30"/>
          <w:szCs w:val="30"/>
        </w:rPr>
        <w:t>为实现研究目标，</w:t>
      </w:r>
      <w:r>
        <w:rPr>
          <w:rFonts w:hAnsi="宋体" w:cs="宋体" w:hint="eastAsia"/>
          <w:sz w:val="30"/>
          <w:szCs w:val="30"/>
        </w:rPr>
        <w:t>CEMF</w:t>
      </w:r>
      <w:r>
        <w:rPr>
          <w:rFonts w:hAnsi="宋体" w:cs="宋体"/>
          <w:sz w:val="30"/>
          <w:szCs w:val="30"/>
        </w:rPr>
        <w:t>委托</w:t>
      </w:r>
      <w:r w:rsidRPr="00CF258A">
        <w:rPr>
          <w:rFonts w:hAnsi="宋体" w:cs="宋体" w:hint="eastAsia"/>
          <w:sz w:val="30"/>
          <w:szCs w:val="30"/>
        </w:rPr>
        <w:t>国内知名模型团队</w:t>
      </w:r>
      <w:r>
        <w:rPr>
          <w:rFonts w:hAnsi="宋体" w:cs="宋体"/>
          <w:sz w:val="30"/>
          <w:szCs w:val="30"/>
        </w:rPr>
        <w:t>开展了相应研究，</w:t>
      </w:r>
      <w:r>
        <w:rPr>
          <w:rFonts w:hAnsi="宋体" w:cs="宋体" w:hint="eastAsia"/>
          <w:sz w:val="30"/>
          <w:szCs w:val="30"/>
        </w:rPr>
        <w:t>包括</w:t>
      </w:r>
      <w:r>
        <w:rPr>
          <w:rFonts w:hAnsi="宋体" w:cs="宋体"/>
          <w:sz w:val="30"/>
          <w:szCs w:val="30"/>
        </w:rPr>
        <w:t>：</w:t>
      </w:r>
    </w:p>
    <w:p w14:paraId="1BF2B751" w14:textId="77777777" w:rsidR="00191FE3" w:rsidRDefault="00191FE3" w:rsidP="00191FE3">
      <w:pPr>
        <w:pStyle w:val="af"/>
        <w:numPr>
          <w:ilvl w:val="0"/>
          <w:numId w:val="2"/>
        </w:numPr>
        <w:rPr>
          <w:rFonts w:hAnsi="宋体" w:cs="宋体"/>
          <w:sz w:val="30"/>
          <w:szCs w:val="30"/>
        </w:rPr>
      </w:pPr>
      <w:r w:rsidRPr="006614FB">
        <w:rPr>
          <w:rFonts w:hAnsi="宋体" w:cs="宋体" w:hint="eastAsia"/>
          <w:sz w:val="30"/>
          <w:szCs w:val="30"/>
        </w:rPr>
        <w:t>国家信息中心</w:t>
      </w:r>
      <w:r>
        <w:rPr>
          <w:rFonts w:hAnsi="宋体" w:cs="宋体"/>
          <w:sz w:val="30"/>
          <w:szCs w:val="30"/>
        </w:rPr>
        <w:t>团队</w:t>
      </w:r>
      <w:r w:rsidRPr="006614FB">
        <w:rPr>
          <w:rFonts w:hAnsi="宋体" w:cs="宋体" w:hint="eastAsia"/>
          <w:sz w:val="30"/>
          <w:szCs w:val="30"/>
        </w:rPr>
        <w:t>的SIC—CGE</w:t>
      </w:r>
      <w:r>
        <w:rPr>
          <w:rFonts w:hAnsi="宋体" w:cs="宋体"/>
          <w:sz w:val="30"/>
          <w:szCs w:val="30"/>
        </w:rPr>
        <w:t>模型（</w:t>
      </w:r>
      <w:r>
        <w:rPr>
          <w:rFonts w:hAnsi="宋体" w:cs="宋体" w:hint="eastAsia"/>
          <w:sz w:val="30"/>
          <w:szCs w:val="30"/>
        </w:rPr>
        <w:t>全行业</w:t>
      </w:r>
      <w:r>
        <w:rPr>
          <w:rFonts w:hAnsi="宋体" w:cs="宋体"/>
          <w:sz w:val="30"/>
          <w:szCs w:val="30"/>
        </w:rPr>
        <w:t>分析）</w:t>
      </w:r>
    </w:p>
    <w:p w14:paraId="496F6FF3" w14:textId="77777777" w:rsidR="00191FE3" w:rsidRDefault="00191FE3" w:rsidP="00191FE3">
      <w:pPr>
        <w:pStyle w:val="af"/>
        <w:numPr>
          <w:ilvl w:val="0"/>
          <w:numId w:val="2"/>
        </w:numPr>
        <w:rPr>
          <w:rFonts w:hAnsi="宋体" w:cs="宋体"/>
          <w:sz w:val="30"/>
          <w:szCs w:val="30"/>
        </w:rPr>
      </w:pPr>
      <w:r w:rsidRPr="00585591">
        <w:rPr>
          <w:rFonts w:hint="eastAsia"/>
          <w:sz w:val="30"/>
          <w:szCs w:val="30"/>
        </w:rPr>
        <w:t>中国科学院科技战略咨询研究院</w:t>
      </w:r>
      <w:r>
        <w:rPr>
          <w:rFonts w:hAnsi="宋体" w:cs="宋体"/>
          <w:sz w:val="30"/>
          <w:szCs w:val="30"/>
        </w:rPr>
        <w:t>团队</w:t>
      </w:r>
      <w:r w:rsidRPr="006614FB">
        <w:rPr>
          <w:rFonts w:hAnsi="宋体" w:cs="宋体" w:hint="eastAsia"/>
          <w:sz w:val="30"/>
          <w:szCs w:val="30"/>
        </w:rPr>
        <w:t>的CAS—PIC—Macro</w:t>
      </w:r>
      <w:r>
        <w:rPr>
          <w:rFonts w:hAnsi="宋体" w:cs="宋体"/>
          <w:sz w:val="30"/>
          <w:szCs w:val="30"/>
        </w:rPr>
        <w:t>模型（</w:t>
      </w:r>
      <w:r>
        <w:rPr>
          <w:rFonts w:hAnsi="宋体" w:cs="宋体" w:hint="eastAsia"/>
          <w:sz w:val="30"/>
          <w:szCs w:val="30"/>
        </w:rPr>
        <w:t>全行业</w:t>
      </w:r>
      <w:r>
        <w:rPr>
          <w:rFonts w:hAnsi="宋体" w:cs="宋体"/>
          <w:sz w:val="30"/>
          <w:szCs w:val="30"/>
        </w:rPr>
        <w:t>分析）</w:t>
      </w:r>
    </w:p>
    <w:p w14:paraId="532688BB" w14:textId="77777777" w:rsidR="00191FE3" w:rsidRDefault="00191FE3" w:rsidP="00191FE3">
      <w:pPr>
        <w:pStyle w:val="af"/>
        <w:numPr>
          <w:ilvl w:val="0"/>
          <w:numId w:val="2"/>
        </w:numPr>
        <w:rPr>
          <w:rFonts w:hAnsi="宋体" w:cs="宋体"/>
          <w:sz w:val="30"/>
          <w:szCs w:val="30"/>
        </w:rPr>
      </w:pPr>
      <w:r w:rsidRPr="00585591">
        <w:rPr>
          <w:rFonts w:hint="eastAsia"/>
          <w:sz w:val="30"/>
          <w:szCs w:val="30"/>
        </w:rPr>
        <w:t>清华大学能源环境经济研究所</w:t>
      </w:r>
      <w:r>
        <w:rPr>
          <w:sz w:val="30"/>
          <w:szCs w:val="30"/>
        </w:rPr>
        <w:t>团队</w:t>
      </w:r>
      <w:r w:rsidRPr="0083053A">
        <w:rPr>
          <w:rFonts w:hAnsi="宋体" w:cs="宋体" w:hint="eastAsia"/>
          <w:sz w:val="30"/>
          <w:szCs w:val="30"/>
        </w:rPr>
        <w:t>CHINA-MARPLE</w:t>
      </w:r>
      <w:r>
        <w:rPr>
          <w:rFonts w:hAnsi="宋体" w:cs="宋体"/>
          <w:sz w:val="30"/>
          <w:szCs w:val="30"/>
        </w:rPr>
        <w:t>模型（</w:t>
      </w:r>
      <w:r>
        <w:rPr>
          <w:rFonts w:hAnsi="宋体" w:cs="宋体" w:hint="eastAsia"/>
          <w:sz w:val="30"/>
          <w:szCs w:val="30"/>
        </w:rPr>
        <w:t>全行业</w:t>
      </w:r>
      <w:r>
        <w:rPr>
          <w:rFonts w:hAnsi="宋体" w:cs="宋体"/>
          <w:sz w:val="30"/>
          <w:szCs w:val="30"/>
        </w:rPr>
        <w:t>分析）</w:t>
      </w:r>
    </w:p>
    <w:p w14:paraId="08584468" w14:textId="77777777" w:rsidR="00191FE3" w:rsidRPr="0083053A" w:rsidRDefault="00191FE3" w:rsidP="00191FE3">
      <w:pPr>
        <w:pStyle w:val="af"/>
        <w:numPr>
          <w:ilvl w:val="0"/>
          <w:numId w:val="2"/>
        </w:numPr>
        <w:rPr>
          <w:rFonts w:hAnsi="宋体" w:cs="宋体"/>
          <w:sz w:val="30"/>
          <w:szCs w:val="30"/>
        </w:rPr>
      </w:pPr>
      <w:r w:rsidRPr="0083053A">
        <w:rPr>
          <w:rFonts w:hAnsi="宋体" w:cs="宋体" w:hint="eastAsia"/>
          <w:sz w:val="30"/>
          <w:szCs w:val="30"/>
        </w:rPr>
        <w:t>国家信息中心</w:t>
      </w:r>
      <w:r>
        <w:rPr>
          <w:rFonts w:hAnsi="宋体" w:cs="宋体"/>
          <w:sz w:val="30"/>
          <w:szCs w:val="30"/>
        </w:rPr>
        <w:t>团队的</w:t>
      </w:r>
      <w:r w:rsidRPr="0083053A">
        <w:rPr>
          <w:rFonts w:hAnsi="宋体" w:cs="宋体" w:hint="eastAsia"/>
          <w:sz w:val="30"/>
          <w:szCs w:val="30"/>
        </w:rPr>
        <w:t>SIC-IIS</w:t>
      </w:r>
      <w:r>
        <w:rPr>
          <w:rFonts w:hAnsi="宋体" w:cs="宋体"/>
          <w:sz w:val="30"/>
          <w:szCs w:val="30"/>
        </w:rPr>
        <w:t>模型</w:t>
      </w:r>
      <w:r w:rsidRPr="0083053A">
        <w:rPr>
          <w:rFonts w:hAnsi="宋体" w:cs="宋体" w:hint="eastAsia"/>
          <w:sz w:val="30"/>
          <w:szCs w:val="30"/>
        </w:rPr>
        <w:t xml:space="preserve"> </w:t>
      </w:r>
      <w:r>
        <w:rPr>
          <w:rFonts w:hAnsi="宋体" w:cs="宋体"/>
          <w:sz w:val="30"/>
          <w:szCs w:val="30"/>
        </w:rPr>
        <w:t>（</w:t>
      </w:r>
      <w:r>
        <w:rPr>
          <w:rFonts w:hAnsi="宋体" w:cs="宋体" w:hint="eastAsia"/>
          <w:sz w:val="30"/>
          <w:szCs w:val="30"/>
        </w:rPr>
        <w:t>钢铁行业</w:t>
      </w:r>
      <w:r>
        <w:rPr>
          <w:rFonts w:hAnsi="宋体" w:cs="宋体"/>
          <w:sz w:val="30"/>
          <w:szCs w:val="30"/>
        </w:rPr>
        <w:t>）</w:t>
      </w:r>
    </w:p>
    <w:p w14:paraId="3D44EE6C" w14:textId="77777777" w:rsidR="00191FE3" w:rsidRPr="00FC25D8" w:rsidRDefault="00191FE3" w:rsidP="00191FE3">
      <w:pPr>
        <w:pStyle w:val="af"/>
        <w:numPr>
          <w:ilvl w:val="0"/>
          <w:numId w:val="2"/>
        </w:numPr>
        <w:rPr>
          <w:rFonts w:hAnsi="宋体" w:cs="宋体"/>
          <w:sz w:val="30"/>
          <w:szCs w:val="30"/>
        </w:rPr>
      </w:pPr>
      <w:r w:rsidRPr="00FC25D8">
        <w:rPr>
          <w:rFonts w:hint="eastAsia"/>
          <w:sz w:val="30"/>
          <w:szCs w:val="30"/>
        </w:rPr>
        <w:t>环境保护部环境与经济政策研究中心</w:t>
      </w:r>
      <w:r w:rsidRPr="00FC25D8">
        <w:rPr>
          <w:rFonts w:hAnsi="宋体" w:cs="宋体"/>
          <w:sz w:val="30"/>
          <w:szCs w:val="30"/>
        </w:rPr>
        <w:t>团队的</w:t>
      </w:r>
      <w:r w:rsidRPr="00FC25D8">
        <w:rPr>
          <w:rFonts w:hAnsi="宋体" w:cs="宋体" w:hint="eastAsia"/>
          <w:sz w:val="30"/>
          <w:szCs w:val="30"/>
        </w:rPr>
        <w:t>PRCE</w:t>
      </w:r>
      <w:r w:rsidRPr="00FC25D8">
        <w:rPr>
          <w:rFonts w:hAnsi="宋体" w:cs="宋体"/>
          <w:sz w:val="30"/>
          <w:szCs w:val="30"/>
        </w:rPr>
        <w:t>E</w:t>
      </w:r>
      <w:r w:rsidRPr="00FC25D8">
        <w:rPr>
          <w:rFonts w:hAnsi="宋体" w:cs="宋体" w:hint="eastAsia"/>
          <w:sz w:val="30"/>
          <w:szCs w:val="30"/>
        </w:rPr>
        <w:t>-TIMES</w:t>
      </w:r>
      <w:r w:rsidRPr="00FC25D8">
        <w:rPr>
          <w:rFonts w:hAnsi="宋体" w:cs="宋体"/>
          <w:sz w:val="30"/>
          <w:szCs w:val="30"/>
        </w:rPr>
        <w:t>-</w:t>
      </w:r>
      <w:r w:rsidRPr="00FC25D8">
        <w:rPr>
          <w:rFonts w:hAnsi="宋体" w:cs="宋体" w:hint="eastAsia"/>
          <w:sz w:val="30"/>
          <w:szCs w:val="30"/>
        </w:rPr>
        <w:t>Cement模型(水泥</w:t>
      </w:r>
      <w:r w:rsidRPr="00FC25D8">
        <w:rPr>
          <w:rFonts w:hAnsi="宋体" w:cs="宋体"/>
          <w:sz w:val="30"/>
          <w:szCs w:val="30"/>
        </w:rPr>
        <w:t>行业</w:t>
      </w:r>
      <w:r w:rsidRPr="00FC25D8">
        <w:rPr>
          <w:rFonts w:hAnsi="宋体" w:cs="宋体" w:hint="eastAsia"/>
          <w:sz w:val="30"/>
          <w:szCs w:val="30"/>
        </w:rPr>
        <w:t>)</w:t>
      </w:r>
    </w:p>
    <w:p w14:paraId="187B7842" w14:textId="77777777" w:rsidR="00191FE3" w:rsidRPr="0083053A" w:rsidRDefault="00191FE3" w:rsidP="00191FE3">
      <w:pPr>
        <w:pStyle w:val="af"/>
        <w:numPr>
          <w:ilvl w:val="0"/>
          <w:numId w:val="2"/>
        </w:numPr>
        <w:rPr>
          <w:rFonts w:hAnsi="宋体" w:cs="宋体"/>
          <w:sz w:val="30"/>
          <w:szCs w:val="30"/>
        </w:rPr>
      </w:pPr>
      <w:r w:rsidRPr="00FC25D8">
        <w:rPr>
          <w:rFonts w:hint="eastAsia"/>
          <w:sz w:val="30"/>
          <w:szCs w:val="30"/>
        </w:rPr>
        <w:t>环境保护部环境与经济政策研究中心</w:t>
      </w:r>
      <w:r w:rsidRPr="00FC25D8">
        <w:rPr>
          <w:rFonts w:hAnsi="宋体" w:cs="宋体"/>
          <w:sz w:val="30"/>
          <w:szCs w:val="30"/>
        </w:rPr>
        <w:t>团队的</w:t>
      </w:r>
      <w:r w:rsidRPr="00FC25D8">
        <w:rPr>
          <w:rFonts w:hAnsi="宋体" w:cs="宋体" w:hint="eastAsia"/>
          <w:sz w:val="30"/>
          <w:szCs w:val="30"/>
        </w:rPr>
        <w:t>PRCE</w:t>
      </w:r>
      <w:r w:rsidRPr="00FC25D8">
        <w:rPr>
          <w:rFonts w:hAnsi="宋体" w:cs="宋体"/>
          <w:sz w:val="30"/>
          <w:szCs w:val="30"/>
        </w:rPr>
        <w:t>E</w:t>
      </w:r>
      <w:r w:rsidRPr="00FC25D8">
        <w:rPr>
          <w:rFonts w:hAnsi="宋体" w:cs="宋体" w:hint="eastAsia"/>
          <w:sz w:val="30"/>
          <w:szCs w:val="30"/>
        </w:rPr>
        <w:t>-LEAP</w:t>
      </w:r>
      <w:r w:rsidRPr="00FC25D8">
        <w:rPr>
          <w:rFonts w:hAnsi="宋体" w:cs="宋体"/>
          <w:sz w:val="30"/>
          <w:szCs w:val="30"/>
        </w:rPr>
        <w:t>-Transportation</w:t>
      </w:r>
      <w:r w:rsidRPr="00FC25D8">
        <w:rPr>
          <w:rFonts w:hAnsi="宋体" w:cs="宋体" w:hint="eastAsia"/>
          <w:sz w:val="30"/>
          <w:szCs w:val="30"/>
        </w:rPr>
        <w:t>模型(交通</w:t>
      </w:r>
      <w:r w:rsidRPr="00FC25D8">
        <w:rPr>
          <w:rFonts w:hAnsi="宋体" w:cs="宋体"/>
          <w:sz w:val="30"/>
          <w:szCs w:val="30"/>
        </w:rPr>
        <w:t>行业</w:t>
      </w:r>
      <w:r w:rsidRPr="00FC25D8">
        <w:rPr>
          <w:rFonts w:hAnsi="宋体" w:cs="宋体" w:hint="eastAsia"/>
          <w:sz w:val="30"/>
          <w:szCs w:val="30"/>
        </w:rPr>
        <w:t>)</w:t>
      </w:r>
    </w:p>
    <w:p w14:paraId="53C13958" w14:textId="77777777" w:rsidR="00191FE3" w:rsidRPr="0083053A" w:rsidRDefault="00191FE3" w:rsidP="00191FE3">
      <w:pPr>
        <w:pStyle w:val="af"/>
        <w:numPr>
          <w:ilvl w:val="0"/>
          <w:numId w:val="2"/>
        </w:numPr>
        <w:rPr>
          <w:rFonts w:hAnsi="宋体" w:cs="宋体"/>
          <w:sz w:val="30"/>
          <w:szCs w:val="30"/>
        </w:rPr>
      </w:pPr>
      <w:r w:rsidRPr="00585591">
        <w:rPr>
          <w:rFonts w:hint="eastAsia"/>
          <w:sz w:val="30"/>
          <w:szCs w:val="30"/>
        </w:rPr>
        <w:t>国家应对气候变化战略研究和国际合作中心</w:t>
      </w:r>
      <w:r w:rsidRPr="0083053A">
        <w:rPr>
          <w:rFonts w:hAnsi="宋体" w:cs="宋体" w:hint="eastAsia"/>
          <w:sz w:val="30"/>
          <w:szCs w:val="30"/>
        </w:rPr>
        <w:t>NCSC-ELECTRC-TIMES</w:t>
      </w:r>
      <w:r>
        <w:rPr>
          <w:rFonts w:hAnsi="宋体" w:cs="宋体"/>
          <w:sz w:val="30"/>
          <w:szCs w:val="30"/>
        </w:rPr>
        <w:t>模型（</w:t>
      </w:r>
      <w:r w:rsidRPr="0083053A">
        <w:rPr>
          <w:rFonts w:hAnsi="宋体" w:cs="宋体" w:hint="eastAsia"/>
          <w:sz w:val="30"/>
          <w:szCs w:val="30"/>
        </w:rPr>
        <w:t>电力行业</w:t>
      </w:r>
      <w:r>
        <w:rPr>
          <w:rFonts w:hAnsi="宋体" w:cs="宋体"/>
          <w:sz w:val="30"/>
          <w:szCs w:val="30"/>
        </w:rPr>
        <w:t>）</w:t>
      </w:r>
    </w:p>
    <w:p w14:paraId="36C1B5BE" w14:textId="77777777" w:rsidR="00191FE3" w:rsidRDefault="00191FE3" w:rsidP="00191FE3">
      <w:pPr>
        <w:pStyle w:val="af"/>
        <w:ind w:firstLineChars="200" w:firstLine="600"/>
        <w:rPr>
          <w:rFonts w:hAnsi="宋体" w:cs="宋体"/>
          <w:sz w:val="30"/>
          <w:szCs w:val="30"/>
        </w:rPr>
      </w:pPr>
      <w:r>
        <w:rPr>
          <w:rFonts w:hAnsi="宋体" w:cs="宋体" w:hint="eastAsia"/>
          <w:sz w:val="30"/>
          <w:szCs w:val="30"/>
        </w:rPr>
        <w:t>在此</w:t>
      </w:r>
      <w:r>
        <w:rPr>
          <w:rFonts w:hAnsi="宋体" w:cs="宋体"/>
          <w:sz w:val="30"/>
          <w:szCs w:val="30"/>
        </w:rPr>
        <w:t>基础上，</w:t>
      </w:r>
      <w:r>
        <w:rPr>
          <w:rFonts w:hAnsi="宋体" w:cs="宋体" w:hint="eastAsia"/>
          <w:sz w:val="30"/>
          <w:szCs w:val="30"/>
        </w:rPr>
        <w:t>CEMF</w:t>
      </w:r>
      <w:r>
        <w:rPr>
          <w:rFonts w:hAnsi="宋体" w:cs="宋体"/>
          <w:sz w:val="30"/>
          <w:szCs w:val="30"/>
        </w:rPr>
        <w:t>团队完成了《</w:t>
      </w:r>
      <w:r w:rsidRPr="00FD2C6F">
        <w:rPr>
          <w:rFonts w:hAnsi="宋体" w:cs="宋体" w:hint="eastAsia"/>
          <w:sz w:val="30"/>
          <w:szCs w:val="30"/>
        </w:rPr>
        <w:t>中国碳排放峰值的多模型比较研究（CEMF01）</w:t>
      </w:r>
      <w:r>
        <w:rPr>
          <w:rFonts w:hAnsi="宋体" w:cs="宋体"/>
          <w:sz w:val="30"/>
          <w:szCs w:val="30"/>
        </w:rPr>
        <w:t>》，</w:t>
      </w:r>
      <w:r w:rsidRPr="009B43A4">
        <w:rPr>
          <w:rFonts w:ascii="times" w:hAnsi="times" w:cs="times"/>
          <w:kern w:val="0"/>
          <w:sz w:val="28"/>
          <w:szCs w:val="28"/>
        </w:rPr>
        <w:t>主要采用</w:t>
      </w:r>
      <w:r w:rsidRPr="009B43A4">
        <w:rPr>
          <w:rFonts w:ascii="times" w:hAnsi="times" w:cs="times" w:hint="eastAsia"/>
          <w:kern w:val="0"/>
          <w:sz w:val="28"/>
          <w:szCs w:val="28"/>
        </w:rPr>
        <w:t>多模型比较</w:t>
      </w:r>
      <w:r w:rsidRPr="006614FB">
        <w:rPr>
          <w:rFonts w:hAnsi="宋体" w:cs="宋体" w:hint="eastAsia"/>
          <w:sz w:val="30"/>
          <w:szCs w:val="30"/>
        </w:rPr>
        <w:t>的研究</w:t>
      </w:r>
      <w:r>
        <w:rPr>
          <w:rFonts w:hAnsi="宋体" w:cs="宋体"/>
          <w:sz w:val="30"/>
          <w:szCs w:val="30"/>
        </w:rPr>
        <w:t>方法，</w:t>
      </w:r>
      <w:r w:rsidRPr="00F84354">
        <w:rPr>
          <w:rFonts w:hAnsi="宋体" w:cs="宋体" w:hint="eastAsia"/>
          <w:sz w:val="30"/>
          <w:szCs w:val="30"/>
        </w:rPr>
        <w:t>在多种情景下对同类模型的排放峰值进行比较，通过建立比较平台，</w:t>
      </w:r>
      <w:r>
        <w:rPr>
          <w:rFonts w:hAnsi="宋体" w:cs="宋体" w:hint="eastAsia"/>
          <w:sz w:val="30"/>
          <w:szCs w:val="30"/>
        </w:rPr>
        <w:t>对不同类型模型的结果进行比较，探讨</w:t>
      </w:r>
      <w:r w:rsidRPr="00F84354">
        <w:rPr>
          <w:rFonts w:hAnsi="宋体" w:cs="宋体" w:hint="eastAsia"/>
          <w:sz w:val="30"/>
          <w:szCs w:val="30"/>
        </w:rPr>
        <w:t>模型之间的关联性</w:t>
      </w:r>
      <w:r>
        <w:rPr>
          <w:rFonts w:hAnsi="宋体" w:cs="宋体"/>
          <w:sz w:val="30"/>
          <w:szCs w:val="30"/>
        </w:rPr>
        <w:t>、</w:t>
      </w:r>
      <w:r w:rsidRPr="00F84354">
        <w:rPr>
          <w:rFonts w:hAnsi="宋体" w:cs="宋体" w:hint="eastAsia"/>
          <w:sz w:val="30"/>
          <w:szCs w:val="30"/>
        </w:rPr>
        <w:t>模型情景设定的合理性</w:t>
      </w:r>
      <w:r>
        <w:rPr>
          <w:rFonts w:hAnsi="宋体" w:cs="宋体"/>
          <w:sz w:val="30"/>
          <w:szCs w:val="30"/>
        </w:rPr>
        <w:t>，</w:t>
      </w:r>
      <w:r w:rsidRPr="00F84354">
        <w:rPr>
          <w:rFonts w:hAnsi="宋体" w:cs="宋体" w:hint="eastAsia"/>
          <w:sz w:val="30"/>
          <w:szCs w:val="30"/>
        </w:rPr>
        <w:t>分析同类模型结果差异的主要原因，对模型参数设定的科学合理性讨论，提高各个模型的公信力。</w:t>
      </w:r>
      <w:r>
        <w:rPr>
          <w:rFonts w:hAnsi="宋体" w:cs="宋体" w:hint="eastAsia"/>
          <w:sz w:val="30"/>
          <w:szCs w:val="30"/>
        </w:rPr>
        <w:t>同时</w:t>
      </w:r>
      <w:r>
        <w:rPr>
          <w:rFonts w:hAnsi="宋体" w:cs="宋体"/>
          <w:sz w:val="30"/>
          <w:szCs w:val="30"/>
        </w:rPr>
        <w:t>，</w:t>
      </w:r>
      <w:r w:rsidRPr="00F84354">
        <w:rPr>
          <w:rFonts w:hAnsi="宋体" w:cs="宋体" w:hint="eastAsia"/>
          <w:sz w:val="30"/>
          <w:szCs w:val="30"/>
        </w:rPr>
        <w:t>通过比较和调整校准得各自模型，形成新</w:t>
      </w:r>
      <w:r>
        <w:rPr>
          <w:rFonts w:hAnsi="宋体" w:cs="宋体" w:hint="eastAsia"/>
          <w:sz w:val="30"/>
          <w:szCs w:val="30"/>
        </w:rPr>
        <w:t>的、更具研究透明性和可信度的中国碳排放峰值的综合研究成果，供</w:t>
      </w:r>
      <w:r w:rsidRPr="00F84354">
        <w:rPr>
          <w:rFonts w:hAnsi="宋体" w:cs="宋体" w:hint="eastAsia"/>
          <w:sz w:val="30"/>
          <w:szCs w:val="30"/>
        </w:rPr>
        <w:t>决策部门参考</w:t>
      </w:r>
      <w:r>
        <w:rPr>
          <w:rFonts w:hAnsi="宋体" w:cs="宋体" w:hint="eastAsia"/>
          <w:sz w:val="30"/>
          <w:szCs w:val="30"/>
        </w:rPr>
        <w:t>。</w:t>
      </w:r>
    </w:p>
    <w:p w14:paraId="40660C85" w14:textId="77777777" w:rsidR="00191FE3" w:rsidRDefault="00191FE3" w:rsidP="00191FE3">
      <w:pPr>
        <w:pStyle w:val="af"/>
        <w:ind w:firstLineChars="200" w:firstLine="600"/>
        <w:rPr>
          <w:rFonts w:hAnsi="宋体" w:cs="宋体"/>
          <w:sz w:val="30"/>
          <w:szCs w:val="30"/>
        </w:rPr>
      </w:pPr>
      <w:r>
        <w:rPr>
          <w:rFonts w:hAnsi="宋体" w:cs="宋体" w:hint="eastAsia"/>
          <w:sz w:val="30"/>
          <w:szCs w:val="30"/>
        </w:rPr>
        <w:t>本报告</w:t>
      </w:r>
      <w:r>
        <w:rPr>
          <w:rFonts w:hAnsi="宋体" w:cs="宋体"/>
          <w:sz w:val="30"/>
          <w:szCs w:val="30"/>
        </w:rPr>
        <w:t>的</w:t>
      </w:r>
      <w:r>
        <w:rPr>
          <w:rFonts w:hAnsi="宋体" w:cs="宋体" w:hint="eastAsia"/>
          <w:sz w:val="30"/>
          <w:szCs w:val="30"/>
        </w:rPr>
        <w:t>研究工作</w:t>
      </w:r>
      <w:r>
        <w:rPr>
          <w:rFonts w:hAnsi="宋体" w:cs="宋体"/>
          <w:sz w:val="30"/>
          <w:szCs w:val="30"/>
        </w:rPr>
        <w:t>是在CEMF</w:t>
      </w:r>
      <w:r>
        <w:rPr>
          <w:rFonts w:hAnsi="宋体" w:cs="宋体" w:hint="eastAsia"/>
          <w:sz w:val="30"/>
          <w:szCs w:val="30"/>
        </w:rPr>
        <w:t>学术委员会</w:t>
      </w:r>
      <w:r>
        <w:rPr>
          <w:rFonts w:hAnsi="宋体" w:cs="宋体"/>
          <w:sz w:val="30"/>
          <w:szCs w:val="30"/>
        </w:rPr>
        <w:t>的指导下完成的，研究过程中，得到了来自</w:t>
      </w:r>
      <w:r w:rsidRPr="00950BF3">
        <w:rPr>
          <w:rFonts w:hAnsi="宋体" w:cs="宋体" w:hint="eastAsia"/>
          <w:sz w:val="30"/>
          <w:szCs w:val="30"/>
        </w:rPr>
        <w:t>清华大学、国家发展和改革委员会能源研究所、国家应对气候变化战略中心、国家信息中心、环保部环境与经济政策研究中心、国务院</w:t>
      </w:r>
      <w:r w:rsidRPr="00950BF3">
        <w:rPr>
          <w:rFonts w:hAnsi="宋体" w:cs="宋体" w:hint="eastAsia"/>
          <w:sz w:val="30"/>
          <w:szCs w:val="30"/>
        </w:rPr>
        <w:lastRenderedPageBreak/>
        <w:t>发展研究中心、复旦大学</w:t>
      </w:r>
      <w:r>
        <w:rPr>
          <w:rFonts w:hAnsi="宋体" w:cs="宋体"/>
          <w:sz w:val="30"/>
          <w:szCs w:val="30"/>
        </w:rPr>
        <w:t>、</w:t>
      </w:r>
      <w:r w:rsidRPr="00950BF3">
        <w:rPr>
          <w:rFonts w:hAnsi="宋体" w:cs="宋体" w:hint="eastAsia"/>
          <w:sz w:val="30"/>
          <w:szCs w:val="30"/>
        </w:rPr>
        <w:t>中国矿业大学</w:t>
      </w:r>
      <w:r>
        <w:rPr>
          <w:rFonts w:hAnsi="宋体" w:cs="宋体"/>
          <w:sz w:val="30"/>
          <w:szCs w:val="30"/>
        </w:rPr>
        <w:t>、冶金工业</w:t>
      </w:r>
      <w:r>
        <w:rPr>
          <w:rFonts w:hAnsi="宋体" w:cs="宋体" w:hint="eastAsia"/>
          <w:sz w:val="30"/>
          <w:szCs w:val="30"/>
        </w:rPr>
        <w:t>规划</w:t>
      </w:r>
      <w:r>
        <w:rPr>
          <w:rFonts w:hAnsi="宋体" w:cs="宋体"/>
          <w:sz w:val="30"/>
          <w:szCs w:val="30"/>
        </w:rPr>
        <w:t>研究院、中国石油</w:t>
      </w:r>
      <w:r>
        <w:rPr>
          <w:rFonts w:hAnsi="宋体" w:cs="宋体" w:hint="eastAsia"/>
          <w:sz w:val="30"/>
          <w:szCs w:val="30"/>
        </w:rPr>
        <w:t>和</w:t>
      </w:r>
      <w:r>
        <w:rPr>
          <w:rFonts w:hAnsi="宋体" w:cs="宋体"/>
          <w:sz w:val="30"/>
          <w:szCs w:val="30"/>
        </w:rPr>
        <w:t>化学工业联合会、交通部科学研究院、中国电力企业联合会、</w:t>
      </w:r>
      <w:r>
        <w:rPr>
          <w:rFonts w:hAnsi="宋体" w:cs="宋体" w:hint="eastAsia"/>
          <w:sz w:val="30"/>
          <w:szCs w:val="30"/>
        </w:rPr>
        <w:t>国网</w:t>
      </w:r>
      <w:r>
        <w:rPr>
          <w:rFonts w:hAnsi="宋体" w:cs="宋体"/>
          <w:sz w:val="30"/>
          <w:szCs w:val="30"/>
        </w:rPr>
        <w:t>能源研究院、中国环境科学研究院、中国农业科学研究院等多家单位的专家学者的大力支持，</w:t>
      </w:r>
      <w:r>
        <w:rPr>
          <w:rFonts w:hAnsi="宋体" w:cs="宋体" w:hint="eastAsia"/>
          <w:sz w:val="30"/>
          <w:szCs w:val="30"/>
        </w:rPr>
        <w:t>同时</w:t>
      </w:r>
      <w:r>
        <w:rPr>
          <w:rFonts w:hAnsi="宋体" w:cs="宋体"/>
          <w:sz w:val="30"/>
          <w:szCs w:val="30"/>
        </w:rPr>
        <w:t>也离不开CEMF秘书处的协调工作。</w:t>
      </w:r>
    </w:p>
    <w:p w14:paraId="25FB23A2" w14:textId="77777777" w:rsidR="00191FE3" w:rsidRDefault="00191FE3" w:rsidP="00191FE3">
      <w:pPr>
        <w:pStyle w:val="af"/>
        <w:ind w:firstLineChars="200" w:firstLine="600"/>
        <w:rPr>
          <w:rFonts w:hAnsi="宋体" w:cs="宋体"/>
          <w:sz w:val="30"/>
          <w:szCs w:val="30"/>
        </w:rPr>
      </w:pPr>
      <w:r>
        <w:rPr>
          <w:rFonts w:hAnsi="宋体" w:cs="宋体"/>
          <w:sz w:val="30"/>
          <w:szCs w:val="30"/>
        </w:rPr>
        <w:t>CEMF研究报告将陆续刊发CEMF01研究成果</w:t>
      </w:r>
      <w:r>
        <w:rPr>
          <w:rFonts w:hAnsi="宋体" w:cs="宋体" w:hint="eastAsia"/>
          <w:sz w:val="30"/>
          <w:szCs w:val="30"/>
        </w:rPr>
        <w:t>及</w:t>
      </w:r>
      <w:r>
        <w:rPr>
          <w:rFonts w:hAnsi="宋体" w:cs="宋体"/>
          <w:sz w:val="30"/>
          <w:szCs w:val="30"/>
        </w:rPr>
        <w:t>各分报告的摘要版本，</w:t>
      </w:r>
      <w:r>
        <w:rPr>
          <w:rFonts w:hAnsi="宋体" w:cs="宋体" w:hint="eastAsia"/>
          <w:sz w:val="30"/>
          <w:szCs w:val="30"/>
        </w:rPr>
        <w:t>供</w:t>
      </w:r>
      <w:r>
        <w:rPr>
          <w:rFonts w:hAnsi="宋体" w:cs="宋体"/>
          <w:sz w:val="30"/>
          <w:szCs w:val="30"/>
        </w:rPr>
        <w:t>读者参考。</w:t>
      </w:r>
      <w:r>
        <w:rPr>
          <w:rFonts w:hAnsi="宋体" w:cs="宋体" w:hint="eastAsia"/>
          <w:sz w:val="30"/>
          <w:szCs w:val="30"/>
        </w:rPr>
        <w:t>如</w:t>
      </w:r>
      <w:r>
        <w:rPr>
          <w:rFonts w:hAnsi="宋体" w:cs="宋体"/>
          <w:sz w:val="30"/>
          <w:szCs w:val="30"/>
        </w:rPr>
        <w:t>您对本</w:t>
      </w:r>
      <w:r>
        <w:rPr>
          <w:rFonts w:hAnsi="宋体" w:cs="宋体" w:hint="eastAsia"/>
          <w:sz w:val="30"/>
          <w:szCs w:val="30"/>
        </w:rPr>
        <w:t>研究</w:t>
      </w:r>
      <w:r>
        <w:rPr>
          <w:rFonts w:hAnsi="宋体" w:cs="宋体"/>
          <w:sz w:val="30"/>
          <w:szCs w:val="30"/>
        </w:rPr>
        <w:t>有咨询和建议，</w:t>
      </w:r>
      <w:r>
        <w:fldChar w:fldCharType="begin"/>
      </w:r>
      <w:r>
        <w:instrText xml:space="preserve"> HYPERLINK "mailto:请联系cemf@tsinghua.edu.cn" </w:instrText>
      </w:r>
      <w:r>
        <w:fldChar w:fldCharType="separate"/>
      </w:r>
      <w:r w:rsidRPr="00612F2E">
        <w:rPr>
          <w:rStyle w:val="a9"/>
          <w:rFonts w:hAnsi="宋体" w:cs="宋体" w:hint="eastAsia"/>
          <w:sz w:val="30"/>
          <w:szCs w:val="30"/>
        </w:rPr>
        <w:t>请</w:t>
      </w:r>
      <w:r w:rsidRPr="00612F2E">
        <w:rPr>
          <w:rStyle w:val="a9"/>
          <w:rFonts w:hAnsi="宋体" w:cs="宋体"/>
          <w:sz w:val="30"/>
          <w:szCs w:val="30"/>
        </w:rPr>
        <w:t>联系</w:t>
      </w:r>
      <w:r>
        <w:rPr>
          <w:rStyle w:val="a9"/>
          <w:rFonts w:hAnsi="宋体" w:cs="宋体"/>
          <w:sz w:val="30"/>
          <w:szCs w:val="30"/>
        </w:rPr>
        <w:t>北京市清华大学公共管理615</w:t>
      </w:r>
      <w:r>
        <w:rPr>
          <w:rStyle w:val="a9"/>
          <w:rFonts w:hAnsi="宋体" w:cs="宋体" w:hint="eastAsia"/>
          <w:sz w:val="30"/>
          <w:szCs w:val="30"/>
        </w:rPr>
        <w:t>室</w:t>
      </w:r>
      <w:r>
        <w:rPr>
          <w:rStyle w:val="a9"/>
          <w:rFonts w:hAnsi="宋体" w:cs="宋体"/>
          <w:sz w:val="30"/>
          <w:szCs w:val="30"/>
        </w:rPr>
        <w:t>，</w:t>
      </w:r>
      <w:r>
        <w:rPr>
          <w:rStyle w:val="a9"/>
          <w:rFonts w:hAnsi="宋体" w:cs="宋体" w:hint="eastAsia"/>
          <w:sz w:val="30"/>
          <w:szCs w:val="30"/>
        </w:rPr>
        <w:t>中国能源模型论坛</w:t>
      </w:r>
      <w:r>
        <w:rPr>
          <w:rStyle w:val="a9"/>
          <w:rFonts w:hAnsi="宋体" w:cs="宋体"/>
          <w:sz w:val="30"/>
          <w:szCs w:val="30"/>
        </w:rPr>
        <w:t>（100084），</w:t>
      </w:r>
      <w:r>
        <w:rPr>
          <w:rStyle w:val="a9"/>
          <w:rFonts w:hAnsi="宋体" w:cs="宋体" w:hint="eastAsia"/>
          <w:sz w:val="30"/>
          <w:szCs w:val="30"/>
        </w:rPr>
        <w:t>或发送</w:t>
      </w:r>
      <w:r>
        <w:rPr>
          <w:rStyle w:val="a9"/>
          <w:rFonts w:hAnsi="宋体" w:cs="宋体"/>
          <w:sz w:val="30"/>
          <w:szCs w:val="30"/>
        </w:rPr>
        <w:t>邮件至</w:t>
      </w:r>
      <w:r w:rsidRPr="00612F2E">
        <w:rPr>
          <w:rStyle w:val="a9"/>
          <w:rFonts w:hAnsi="宋体" w:cs="宋体"/>
          <w:sz w:val="30"/>
          <w:szCs w:val="30"/>
        </w:rPr>
        <w:t>cemf@tsinghua.edu.cn</w:t>
      </w:r>
      <w:r>
        <w:rPr>
          <w:rStyle w:val="a9"/>
          <w:rFonts w:hAnsi="宋体" w:cs="宋体"/>
          <w:sz w:val="30"/>
          <w:szCs w:val="30"/>
        </w:rPr>
        <w:fldChar w:fldCharType="end"/>
      </w:r>
      <w:r>
        <w:rPr>
          <w:rFonts w:hAnsi="宋体" w:cs="宋体"/>
          <w:sz w:val="30"/>
          <w:szCs w:val="30"/>
        </w:rPr>
        <w:t>。我们的官方网站是</w:t>
      </w:r>
      <w:r>
        <w:fldChar w:fldCharType="begin"/>
      </w:r>
      <w:r>
        <w:instrText xml:space="preserve"> HYPERLINK "http://www.cemf.net.cn" </w:instrText>
      </w:r>
      <w:r>
        <w:fldChar w:fldCharType="separate"/>
      </w:r>
      <w:r w:rsidRPr="00612F2E">
        <w:rPr>
          <w:rStyle w:val="a9"/>
          <w:rFonts w:hAnsi="宋体" w:cs="宋体"/>
          <w:sz w:val="30"/>
          <w:szCs w:val="30"/>
        </w:rPr>
        <w:t>www.cemf.net.cn</w:t>
      </w:r>
      <w:r>
        <w:rPr>
          <w:rStyle w:val="a9"/>
          <w:rFonts w:hAnsi="宋体" w:cs="宋体"/>
          <w:sz w:val="30"/>
          <w:szCs w:val="30"/>
        </w:rPr>
        <w:fldChar w:fldCharType="end"/>
      </w:r>
      <w:r>
        <w:rPr>
          <w:rFonts w:hAnsi="宋体" w:cs="宋体"/>
          <w:sz w:val="30"/>
          <w:szCs w:val="30"/>
        </w:rPr>
        <w:t>。</w:t>
      </w:r>
    </w:p>
    <w:p w14:paraId="2E92C51C" w14:textId="77777777" w:rsidR="00191FE3" w:rsidRDefault="00191FE3" w:rsidP="00191FE3">
      <w:pPr>
        <w:rPr>
          <w:rFonts w:ascii="Songti SC" w:eastAsia="Songti SC" w:hAnsi="Songti SC"/>
          <w:sz w:val="44"/>
          <w:szCs w:val="44"/>
        </w:rPr>
      </w:pPr>
    </w:p>
    <w:p w14:paraId="4FA0930B" w14:textId="77777777" w:rsidR="00191FE3" w:rsidRDefault="00191FE3" w:rsidP="00191FE3">
      <w:pPr>
        <w:rPr>
          <w:rFonts w:ascii="Songti SC" w:eastAsia="Songti SC" w:hAnsi="Songti SC"/>
          <w:sz w:val="44"/>
          <w:szCs w:val="44"/>
        </w:rPr>
      </w:pPr>
    </w:p>
    <w:p w14:paraId="5E35FEF6" w14:textId="77777777" w:rsidR="00191FE3" w:rsidRDefault="00191FE3" w:rsidP="00191FE3">
      <w:pPr>
        <w:jc w:val="center"/>
        <w:rPr>
          <w:rFonts w:ascii="Songti SC" w:eastAsia="Songti SC" w:hAnsi="Songti SC"/>
          <w:sz w:val="30"/>
          <w:szCs w:val="30"/>
        </w:rPr>
        <w:sectPr w:rsidR="00191FE3" w:rsidSect="00166146">
          <w:pgSz w:w="12240" w:h="15840" w:code="195"/>
          <w:pgMar w:top="1247" w:right="1247" w:bottom="1247" w:left="1247" w:header="851" w:footer="737" w:gutter="0"/>
          <w:pgNumType w:start="0"/>
          <w:cols w:space="720"/>
          <w:docGrid w:linePitch="360"/>
        </w:sectPr>
      </w:pPr>
    </w:p>
    <w:p w14:paraId="588307C5" w14:textId="77777777" w:rsidR="00CA4F8E" w:rsidRDefault="00CA4F8E" w:rsidP="00FA4AAD">
      <w:pPr>
        <w:jc w:val="center"/>
        <w:rPr>
          <w:rFonts w:ascii="宋体" w:eastAsia="宋体" w:hAnsi="宋体"/>
          <w:b/>
          <w:sz w:val="52"/>
          <w:szCs w:val="52"/>
        </w:rPr>
      </w:pPr>
    </w:p>
    <w:p w14:paraId="3C367FE1" w14:textId="77777777" w:rsidR="00327A1A" w:rsidRDefault="00327A1A" w:rsidP="00327A1A">
      <w:pPr>
        <w:spacing w:line="360" w:lineRule="auto"/>
        <w:ind w:firstLineChars="200" w:firstLine="489"/>
        <w:rPr>
          <w:rFonts w:asciiTheme="minorEastAsia" w:hAnsiTheme="minorEastAsia"/>
          <w:b/>
          <w:sz w:val="24"/>
        </w:rPr>
      </w:pPr>
      <w:r w:rsidRPr="00327A1A">
        <w:rPr>
          <w:rFonts w:asciiTheme="minorEastAsia" w:hAnsiTheme="minorEastAsia" w:hint="eastAsia"/>
          <w:b/>
          <w:sz w:val="24"/>
        </w:rPr>
        <w:t>引言</w:t>
      </w:r>
    </w:p>
    <w:p w14:paraId="11D4A5D2" w14:textId="77777777" w:rsidR="00327A1A" w:rsidRPr="00327A1A" w:rsidRDefault="00327A1A" w:rsidP="00327A1A">
      <w:pPr>
        <w:spacing w:line="360" w:lineRule="auto"/>
        <w:ind w:firstLineChars="200" w:firstLine="489"/>
        <w:rPr>
          <w:rFonts w:asciiTheme="minorEastAsia" w:hAnsiTheme="minorEastAsia"/>
          <w:b/>
          <w:sz w:val="24"/>
        </w:rPr>
      </w:pPr>
    </w:p>
    <w:p w14:paraId="25EA1CEB" w14:textId="1EEA35EC" w:rsidR="0014070C" w:rsidRDefault="000F745E" w:rsidP="007E49DA">
      <w:pPr>
        <w:spacing w:line="360" w:lineRule="auto"/>
        <w:ind w:firstLineChars="200" w:firstLine="480"/>
        <w:rPr>
          <w:rFonts w:asciiTheme="minorEastAsia" w:hAnsiTheme="minorEastAsia"/>
          <w:sz w:val="24"/>
        </w:rPr>
      </w:pPr>
      <w:r w:rsidRPr="000F745E">
        <w:rPr>
          <w:rFonts w:asciiTheme="minorEastAsia" w:hAnsiTheme="minorEastAsia" w:hint="eastAsia"/>
          <w:sz w:val="24"/>
        </w:rPr>
        <w:t>我国是世界上最大的煤炭生产</w:t>
      </w:r>
      <w:r w:rsidR="00AB334C">
        <w:rPr>
          <w:rFonts w:asciiTheme="minorEastAsia" w:hAnsiTheme="minorEastAsia" w:hint="eastAsia"/>
          <w:sz w:val="24"/>
        </w:rPr>
        <w:t>国和</w:t>
      </w:r>
      <w:r w:rsidRPr="000F745E">
        <w:rPr>
          <w:rFonts w:asciiTheme="minorEastAsia" w:hAnsiTheme="minorEastAsia" w:hint="eastAsia"/>
          <w:sz w:val="24"/>
        </w:rPr>
        <w:t>消费国，2015年我国煤炭产量37.5亿吨占世界煤炭产量的47%，消费量39.65亿吨占世界</w:t>
      </w:r>
      <w:r>
        <w:rPr>
          <w:rFonts w:asciiTheme="minorEastAsia" w:hAnsiTheme="minorEastAsia" w:hint="eastAsia"/>
          <w:sz w:val="24"/>
        </w:rPr>
        <w:t>消费量的一半，同时我国也是世界上碳排放最多的国家，</w:t>
      </w:r>
      <w:r w:rsidR="004D048B">
        <w:rPr>
          <w:rFonts w:asciiTheme="minorEastAsia" w:hAnsiTheme="minorEastAsia" w:hint="eastAsia"/>
          <w:sz w:val="24"/>
        </w:rPr>
        <w:t>减排压力巨大，</w:t>
      </w:r>
      <w:r w:rsidR="007E49DA" w:rsidRPr="007E49DA">
        <w:rPr>
          <w:rFonts w:asciiTheme="minorEastAsia" w:hAnsiTheme="minorEastAsia" w:hint="eastAsia"/>
          <w:sz w:val="24"/>
        </w:rPr>
        <w:t>面对“到2020 年中国单位国内生产总值二氧化碳排放量比 2005 年下降40%</w:t>
      </w:r>
      <w:r w:rsidR="007E49DA">
        <w:rPr>
          <w:rFonts w:asciiTheme="minorEastAsia" w:hAnsiTheme="minorEastAsia" w:hint="eastAsia"/>
          <w:sz w:val="24"/>
        </w:rPr>
        <w:t>—</w:t>
      </w:r>
      <w:r w:rsidR="007E49DA" w:rsidRPr="007E49DA">
        <w:rPr>
          <w:rFonts w:asciiTheme="minorEastAsia" w:hAnsiTheme="minorEastAsia" w:hint="eastAsia"/>
          <w:sz w:val="24"/>
        </w:rPr>
        <w:t>45%”的国际承诺，我国煤炭产业发展低碳经济，将会显得更加重要与紧急。</w:t>
      </w:r>
      <w:r w:rsidR="00277E27">
        <w:rPr>
          <w:rFonts w:asciiTheme="minorEastAsia" w:hAnsiTheme="minorEastAsia" w:hint="eastAsia"/>
          <w:sz w:val="24"/>
        </w:rPr>
        <w:t>在</w:t>
      </w:r>
      <w:r w:rsidR="007E49DA" w:rsidRPr="007E49DA">
        <w:rPr>
          <w:rFonts w:asciiTheme="minorEastAsia" w:hAnsiTheme="minorEastAsia" w:hint="eastAsia"/>
          <w:sz w:val="24"/>
        </w:rPr>
        <w:t>哥本</w:t>
      </w:r>
      <w:r w:rsidR="00401A74">
        <w:rPr>
          <w:rFonts w:asciiTheme="minorEastAsia" w:hAnsiTheme="minorEastAsia" w:hint="eastAsia"/>
          <w:sz w:val="24"/>
        </w:rPr>
        <w:t>哈根气候大会，中国官方首次明确提出温室气体排放的峰值年份预期—</w:t>
      </w:r>
      <w:r w:rsidR="007E49DA" w:rsidRPr="007E49DA">
        <w:rPr>
          <w:rFonts w:asciiTheme="minorEastAsia" w:hAnsiTheme="minorEastAsia" w:hint="eastAsia"/>
          <w:sz w:val="24"/>
        </w:rPr>
        <w:t>2030年到2040年之间。</w:t>
      </w:r>
      <w:r w:rsidR="007E49DA">
        <w:rPr>
          <w:rFonts w:asciiTheme="minorEastAsia" w:hAnsiTheme="minorEastAsia" w:hint="eastAsia"/>
          <w:sz w:val="24"/>
        </w:rPr>
        <w:t>巴黎气候大会上，</w:t>
      </w:r>
      <w:r w:rsidR="007E49DA" w:rsidRPr="007E49DA">
        <w:rPr>
          <w:rFonts w:asciiTheme="minorEastAsia" w:hAnsiTheme="minorEastAsia" w:hint="eastAsia"/>
          <w:sz w:val="24"/>
        </w:rPr>
        <w:t>我国明确提出国家自主贡献目标，到2030</w:t>
      </w:r>
      <w:r w:rsidR="007E49DA">
        <w:rPr>
          <w:rFonts w:asciiTheme="minorEastAsia" w:hAnsiTheme="minorEastAsia" w:hint="eastAsia"/>
          <w:sz w:val="24"/>
        </w:rPr>
        <w:t>年左右出现二氧化碳排放峰值，而且也要争取早一点实现,</w:t>
      </w:r>
      <w:r w:rsidR="007E49DA" w:rsidRPr="007E49DA">
        <w:rPr>
          <w:rFonts w:asciiTheme="minorEastAsia" w:hAnsiTheme="minorEastAsia" w:hint="eastAsia"/>
          <w:sz w:val="24"/>
        </w:rPr>
        <w:t>具体措施包括节能、发展可再生能源、增加森林碳汇、调整经济产业结构等。国内外对中国碳排放达峰问题已经开展了诸多研究，但是专门针对中国2030年碳排放达峰，尤其是峰值水平及达峰路径方面的研究较少，与发达国家碳排放峰值自然而然的形成过程不同，中国是提前主动设置碳排放峰值目标，能否实现还取决于工业、能源、建筑、交通等关键排放部门的发展路径。从政策现状来看，目前中国实施的碳强度目标政策，虽有助于抑制碳排放增速，但对实现CO</w:t>
      </w:r>
      <w:r w:rsidR="007E49DA" w:rsidRPr="00C00428">
        <w:rPr>
          <w:rFonts w:asciiTheme="minorEastAsia" w:hAnsiTheme="minorEastAsia" w:hint="eastAsia"/>
          <w:sz w:val="24"/>
          <w:vertAlign w:val="subscript"/>
        </w:rPr>
        <w:t>2</w:t>
      </w:r>
      <w:r w:rsidR="007E49DA" w:rsidRPr="007E49DA">
        <w:rPr>
          <w:rFonts w:asciiTheme="minorEastAsia" w:hAnsiTheme="minorEastAsia" w:hint="eastAsia"/>
          <w:sz w:val="24"/>
        </w:rPr>
        <w:t>排放峰值还远远不够，随着工业化进程逐渐完成和经济增速下滑，</w:t>
      </w:r>
      <w:r w:rsidR="007E49DA">
        <w:rPr>
          <w:rFonts w:asciiTheme="minorEastAsia" w:hAnsiTheme="minorEastAsia" w:hint="eastAsia"/>
          <w:sz w:val="24"/>
        </w:rPr>
        <w:t>单位</w:t>
      </w:r>
      <w:r w:rsidR="007E49DA" w:rsidRPr="007E49DA">
        <w:rPr>
          <w:rFonts w:asciiTheme="minorEastAsia" w:hAnsiTheme="minorEastAsia" w:hint="eastAsia"/>
          <w:sz w:val="24"/>
        </w:rPr>
        <w:t>碳排放</w:t>
      </w:r>
      <w:r w:rsidR="00277E27">
        <w:rPr>
          <w:rFonts w:asciiTheme="minorEastAsia" w:hAnsiTheme="minorEastAsia" w:hint="eastAsia"/>
          <w:sz w:val="24"/>
        </w:rPr>
        <w:t>对我国经济发展的影响将逐渐减弱</w:t>
      </w:r>
      <w:r w:rsidR="00BB0261">
        <w:rPr>
          <w:rFonts w:asciiTheme="minorEastAsia" w:hAnsiTheme="minorEastAsia" w:hint="eastAsia"/>
          <w:sz w:val="24"/>
        </w:rPr>
        <w:t>，主要由于</w:t>
      </w:r>
      <w:r w:rsidR="008C1A0B">
        <w:rPr>
          <w:rFonts w:asciiTheme="minorEastAsia" w:hAnsiTheme="minorEastAsia"/>
          <w:sz w:val="24"/>
        </w:rPr>
        <w:t>：</w:t>
      </w:r>
    </w:p>
    <w:p w14:paraId="21641C9E" w14:textId="54AF49D0" w:rsidR="00246C85" w:rsidRDefault="007E49DA" w:rsidP="0014070C">
      <w:pPr>
        <w:pStyle w:val="ae"/>
        <w:numPr>
          <w:ilvl w:val="0"/>
          <w:numId w:val="1"/>
        </w:numPr>
        <w:spacing w:line="360" w:lineRule="auto"/>
        <w:ind w:firstLineChars="0"/>
        <w:rPr>
          <w:rFonts w:asciiTheme="minorEastAsia" w:hAnsiTheme="minorEastAsia"/>
          <w:sz w:val="24"/>
        </w:rPr>
      </w:pPr>
      <w:r w:rsidRPr="008C1A0B">
        <w:rPr>
          <w:rFonts w:asciiTheme="minorEastAsia" w:hAnsiTheme="minorEastAsia" w:hint="eastAsia"/>
          <w:b/>
          <w:sz w:val="24"/>
        </w:rPr>
        <w:t>工业化进程逐渐完成，工业增长趋缓降低了碳排放压力</w:t>
      </w:r>
      <w:r w:rsidRPr="0014070C">
        <w:rPr>
          <w:rFonts w:asciiTheme="minorEastAsia" w:hAnsiTheme="minorEastAsia" w:hint="eastAsia"/>
          <w:sz w:val="24"/>
        </w:rPr>
        <w:t>，</w:t>
      </w:r>
      <w:r w:rsidRPr="0014070C">
        <w:rPr>
          <w:rFonts w:ascii="Times New Roman" w:hAnsi="Times New Roman" w:cs="Times New Roman"/>
          <w:sz w:val="24"/>
        </w:rPr>
        <w:t>2005</w:t>
      </w:r>
      <w:r w:rsidRPr="0014070C">
        <w:rPr>
          <w:rFonts w:asciiTheme="minorEastAsia" w:hAnsiTheme="minorEastAsia" w:hint="eastAsia"/>
          <w:sz w:val="24"/>
        </w:rPr>
        <w:t>年—</w:t>
      </w:r>
      <w:r w:rsidRPr="0014070C">
        <w:rPr>
          <w:rFonts w:ascii="Times New Roman" w:hAnsi="Times New Roman" w:cs="Times New Roman"/>
          <w:sz w:val="24"/>
        </w:rPr>
        <w:t>2015</w:t>
      </w:r>
      <w:r w:rsidRPr="0014070C">
        <w:rPr>
          <w:rFonts w:asciiTheme="minorEastAsia" w:hAnsiTheme="minorEastAsia" w:hint="eastAsia"/>
          <w:sz w:val="24"/>
        </w:rPr>
        <w:t>年间，工业能源消费的年均增长为 2.6%，随着快速工业化接近尾声，工业领域的增速将降至年均1%。研究显示，钢铁和水泥行业碳排放到2020年将稳定在2015年</w:t>
      </w:r>
      <w:r w:rsidR="00246C85">
        <w:rPr>
          <w:rFonts w:asciiTheme="minorEastAsia" w:hAnsiTheme="minorEastAsia" w:hint="eastAsia"/>
          <w:sz w:val="24"/>
        </w:rPr>
        <w:t>前后的水平。</w:t>
      </w:r>
    </w:p>
    <w:p w14:paraId="18AAAA8C" w14:textId="63AF91D1" w:rsidR="00117E43" w:rsidRDefault="007E49DA" w:rsidP="00246C85">
      <w:pPr>
        <w:pStyle w:val="ae"/>
        <w:numPr>
          <w:ilvl w:val="0"/>
          <w:numId w:val="1"/>
        </w:numPr>
        <w:spacing w:line="360" w:lineRule="auto"/>
        <w:ind w:firstLineChars="0"/>
        <w:rPr>
          <w:rFonts w:asciiTheme="minorEastAsia" w:hAnsiTheme="minorEastAsia"/>
          <w:sz w:val="24"/>
        </w:rPr>
      </w:pPr>
      <w:r w:rsidRPr="008C1A0B">
        <w:rPr>
          <w:rFonts w:asciiTheme="minorEastAsia" w:hAnsiTheme="minorEastAsia" w:hint="eastAsia"/>
          <w:b/>
          <w:sz w:val="24"/>
        </w:rPr>
        <w:t>我国经济增长步入新常态，经济增速下降减缓了碳排放增长压力</w:t>
      </w:r>
      <w:r w:rsidRPr="00246C85">
        <w:rPr>
          <w:rFonts w:asciiTheme="minorEastAsia" w:hAnsiTheme="minorEastAsia" w:hint="eastAsia"/>
          <w:sz w:val="24"/>
        </w:rPr>
        <w:t>。2014年中国的GDP增长率为7.4%，很多预测表明，未来5年将保持7%，2020年-2030年将降至5%-6%，2030年将保持在4%-5%左右，经济增速下降有利于实现碳排放峰值目标</w:t>
      </w:r>
      <w:r w:rsidR="00117E43">
        <w:rPr>
          <w:rFonts w:asciiTheme="minorEastAsia" w:hAnsiTheme="minorEastAsia" w:hint="eastAsia"/>
          <w:sz w:val="24"/>
        </w:rPr>
        <w:t>。</w:t>
      </w:r>
    </w:p>
    <w:p w14:paraId="665D8BD5" w14:textId="6179F649" w:rsidR="00117E43" w:rsidRDefault="007E49DA" w:rsidP="00117E43">
      <w:pPr>
        <w:pStyle w:val="ae"/>
        <w:numPr>
          <w:ilvl w:val="0"/>
          <w:numId w:val="1"/>
        </w:numPr>
        <w:spacing w:line="360" w:lineRule="auto"/>
        <w:ind w:firstLineChars="0"/>
        <w:rPr>
          <w:rFonts w:asciiTheme="minorEastAsia" w:hAnsiTheme="minorEastAsia"/>
          <w:sz w:val="24"/>
        </w:rPr>
      </w:pPr>
      <w:r w:rsidRPr="008C1A0B">
        <w:rPr>
          <w:rFonts w:asciiTheme="minorEastAsia" w:hAnsiTheme="minorEastAsia" w:hint="eastAsia"/>
          <w:b/>
          <w:sz w:val="24"/>
        </w:rPr>
        <w:t>经济结构转型有利于实现排放峰值</w:t>
      </w:r>
      <w:r w:rsidRPr="00117E43">
        <w:rPr>
          <w:rFonts w:asciiTheme="minorEastAsia" w:hAnsiTheme="minorEastAsia" w:hint="eastAsia"/>
          <w:sz w:val="24"/>
        </w:rPr>
        <w:t>。长期看，随</w:t>
      </w:r>
      <w:r w:rsidR="00BB0261" w:rsidRPr="00117E43">
        <w:rPr>
          <w:rFonts w:asciiTheme="minorEastAsia" w:hAnsiTheme="minorEastAsia" w:hint="eastAsia"/>
          <w:sz w:val="24"/>
        </w:rPr>
        <w:t>着经济结构由重工业转向消费、先进制造业和服务业为主，碳排放压力</w:t>
      </w:r>
      <w:r w:rsidRPr="00117E43">
        <w:rPr>
          <w:rFonts w:asciiTheme="minorEastAsia" w:hAnsiTheme="minorEastAsia" w:hint="eastAsia"/>
          <w:sz w:val="24"/>
        </w:rPr>
        <w:t>会下降。正在进行的能源结构</w:t>
      </w:r>
      <w:r w:rsidRPr="00117E43">
        <w:rPr>
          <w:rFonts w:asciiTheme="minorEastAsia" w:hAnsiTheme="minorEastAsia" w:hint="eastAsia"/>
          <w:sz w:val="24"/>
        </w:rPr>
        <w:lastRenderedPageBreak/>
        <w:t>转型，也为实现碳排放峰值奠定了基础</w:t>
      </w:r>
      <w:r w:rsidR="00C02523">
        <w:rPr>
          <w:rFonts w:asciiTheme="minorEastAsia" w:hAnsiTheme="minorEastAsia" w:hint="eastAsia"/>
          <w:sz w:val="24"/>
        </w:rPr>
        <w:t>。</w:t>
      </w:r>
    </w:p>
    <w:p w14:paraId="2DCA5574" w14:textId="77777777" w:rsidR="00117E43" w:rsidRDefault="007E49DA" w:rsidP="00117E43">
      <w:pPr>
        <w:pStyle w:val="ae"/>
        <w:numPr>
          <w:ilvl w:val="0"/>
          <w:numId w:val="1"/>
        </w:numPr>
        <w:spacing w:line="360" w:lineRule="auto"/>
        <w:ind w:firstLineChars="0"/>
        <w:rPr>
          <w:rFonts w:asciiTheme="minorEastAsia" w:hAnsiTheme="minorEastAsia"/>
          <w:sz w:val="24"/>
        </w:rPr>
      </w:pPr>
      <w:r w:rsidRPr="008C1A0B">
        <w:rPr>
          <w:rFonts w:asciiTheme="minorEastAsia" w:hAnsiTheme="minorEastAsia" w:hint="eastAsia"/>
          <w:b/>
          <w:sz w:val="24"/>
        </w:rPr>
        <w:t>碳强度趋势正在发生改变</w:t>
      </w:r>
      <w:r w:rsidR="00277E27" w:rsidRPr="00117E43">
        <w:rPr>
          <w:rFonts w:asciiTheme="minorEastAsia" w:hAnsiTheme="minorEastAsia" w:hint="eastAsia"/>
          <w:sz w:val="24"/>
        </w:rPr>
        <w:t>，</w:t>
      </w:r>
      <w:r w:rsidRPr="00117E43">
        <w:rPr>
          <w:rFonts w:asciiTheme="minorEastAsia" w:hAnsiTheme="minorEastAsia" w:hint="eastAsia"/>
          <w:sz w:val="24"/>
        </w:rPr>
        <w:t>2007年-2011年，我国碳排放每年增长6%-11%，经济增长7%-10%，但是2012年排放增长不到3%，经济增长7.5%。有研究提出，2020碳强度下降40%-45%的减排目标可以超额完成</w:t>
      </w:r>
      <w:r w:rsidR="00C02523">
        <w:rPr>
          <w:rFonts w:asciiTheme="minorEastAsia" w:hAnsiTheme="minorEastAsia" w:hint="eastAsia"/>
          <w:sz w:val="24"/>
        </w:rPr>
        <w:t>。</w:t>
      </w:r>
    </w:p>
    <w:p w14:paraId="463D0C45" w14:textId="77777777" w:rsidR="007E49DA" w:rsidRPr="00117E43" w:rsidRDefault="00277E27" w:rsidP="00117E43">
      <w:pPr>
        <w:pStyle w:val="ae"/>
        <w:numPr>
          <w:ilvl w:val="0"/>
          <w:numId w:val="1"/>
        </w:numPr>
        <w:spacing w:line="360" w:lineRule="auto"/>
        <w:ind w:firstLineChars="0"/>
        <w:rPr>
          <w:rFonts w:asciiTheme="minorEastAsia" w:hAnsiTheme="minorEastAsia"/>
          <w:sz w:val="24"/>
        </w:rPr>
      </w:pPr>
      <w:r w:rsidRPr="008C1A0B">
        <w:rPr>
          <w:rFonts w:asciiTheme="minorEastAsia" w:hAnsiTheme="minorEastAsia" w:hint="eastAsia"/>
          <w:b/>
          <w:sz w:val="24"/>
        </w:rPr>
        <w:t>煤炭消费比重下降</w:t>
      </w:r>
      <w:r w:rsidRPr="00117E43">
        <w:rPr>
          <w:rFonts w:asciiTheme="minorEastAsia" w:hAnsiTheme="minorEastAsia" w:hint="eastAsia"/>
          <w:sz w:val="24"/>
        </w:rPr>
        <w:t>，</w:t>
      </w:r>
      <w:r w:rsidR="007E49DA" w:rsidRPr="00117E43">
        <w:rPr>
          <w:rFonts w:asciiTheme="minorEastAsia" w:hAnsiTheme="minorEastAsia" w:hint="eastAsia"/>
          <w:sz w:val="24"/>
        </w:rPr>
        <w:t>10多年来，我国煤炭消费首次出现下降，碳强度下降目标推动削减煤炭以及向污染开战也是重要因素。我国可能会提前完成能源结构调整目标，将煤炭占能源消费比重控制在65%左右。</w:t>
      </w:r>
    </w:p>
    <w:p w14:paraId="2F0C97B2" w14:textId="77777777" w:rsidR="00117E43" w:rsidRDefault="00117E43" w:rsidP="000F745E">
      <w:pPr>
        <w:spacing w:line="360" w:lineRule="auto"/>
        <w:ind w:firstLineChars="200" w:firstLine="480"/>
        <w:rPr>
          <w:rFonts w:asciiTheme="minorEastAsia" w:hAnsiTheme="minorEastAsia"/>
          <w:sz w:val="24"/>
        </w:rPr>
      </w:pPr>
    </w:p>
    <w:p w14:paraId="11245F55" w14:textId="77777777" w:rsidR="000F745E" w:rsidRDefault="00277E27" w:rsidP="000F745E">
      <w:pPr>
        <w:spacing w:line="360" w:lineRule="auto"/>
        <w:ind w:firstLineChars="200" w:firstLine="480"/>
        <w:rPr>
          <w:rFonts w:asciiTheme="minorEastAsia" w:hAnsiTheme="minorEastAsia"/>
          <w:sz w:val="24"/>
        </w:rPr>
      </w:pPr>
      <w:r w:rsidRPr="000F745E">
        <w:rPr>
          <w:rFonts w:asciiTheme="minorEastAsia" w:hAnsiTheme="minorEastAsia" w:hint="eastAsia"/>
          <w:sz w:val="24"/>
        </w:rPr>
        <w:t>国家初始信息通报中显示，1994年我国与能源活动相关的温室气体排放量为30.08亿吨CO</w:t>
      </w:r>
      <w:r w:rsidRPr="00DE6C33">
        <w:rPr>
          <w:rFonts w:asciiTheme="minorEastAsia" w:hAnsiTheme="minorEastAsia" w:hint="eastAsia"/>
          <w:sz w:val="24"/>
          <w:vertAlign w:val="subscript"/>
        </w:rPr>
        <w:t>2</w:t>
      </w:r>
      <w:r w:rsidRPr="000F745E">
        <w:rPr>
          <w:rFonts w:asciiTheme="minorEastAsia" w:hAnsiTheme="minorEastAsia" w:hint="eastAsia"/>
          <w:sz w:val="24"/>
        </w:rPr>
        <w:t>当量，从分品种能源的角度来看，与煤炭相关的排放量所占比例达到了84.12%。在进入21世纪以后，</w:t>
      </w:r>
      <w:r>
        <w:rPr>
          <w:rFonts w:asciiTheme="minorEastAsia" w:hAnsiTheme="minorEastAsia" w:hint="eastAsia"/>
          <w:sz w:val="24"/>
        </w:rPr>
        <w:t>尽管</w:t>
      </w:r>
      <w:r w:rsidRPr="000F745E">
        <w:rPr>
          <w:rFonts w:asciiTheme="minorEastAsia" w:hAnsiTheme="minorEastAsia" w:hint="eastAsia"/>
          <w:sz w:val="24"/>
        </w:rPr>
        <w:t>在相关政策的引导下，我</w:t>
      </w:r>
      <w:r>
        <w:rPr>
          <w:rFonts w:asciiTheme="minorEastAsia" w:hAnsiTheme="minorEastAsia" w:hint="eastAsia"/>
          <w:sz w:val="24"/>
        </w:rPr>
        <w:t>国在经济发展和能源生产消费方面</w:t>
      </w:r>
      <w:r w:rsidRPr="000F745E">
        <w:rPr>
          <w:rFonts w:asciiTheme="minorEastAsia" w:hAnsiTheme="minorEastAsia" w:hint="eastAsia"/>
          <w:sz w:val="24"/>
        </w:rPr>
        <w:t>均发生了巨大的变化，能源消费结构正在进行着</w:t>
      </w:r>
      <w:r>
        <w:rPr>
          <w:rFonts w:asciiTheme="minorEastAsia" w:hAnsiTheme="minorEastAsia" w:hint="eastAsia"/>
          <w:sz w:val="24"/>
        </w:rPr>
        <w:t>不断地优化和调整，风能、核能等清洁能源的发展也取得了很大的成果，</w:t>
      </w:r>
      <w:r w:rsidRPr="000F745E">
        <w:rPr>
          <w:rFonts w:asciiTheme="minorEastAsia" w:hAnsiTheme="minorEastAsia" w:hint="eastAsia"/>
          <w:sz w:val="24"/>
        </w:rPr>
        <w:t>但与煤炭有关的温室气体排放量占比却一直超过70%</w:t>
      </w:r>
      <w:r>
        <w:rPr>
          <w:rFonts w:asciiTheme="minorEastAsia" w:hAnsiTheme="minorEastAsia" w:hint="eastAsia"/>
          <w:sz w:val="24"/>
        </w:rPr>
        <w:t>。</w:t>
      </w:r>
      <w:r w:rsidR="007E49DA">
        <w:rPr>
          <w:rFonts w:asciiTheme="minorEastAsia" w:hAnsiTheme="minorEastAsia" w:hint="eastAsia"/>
          <w:sz w:val="24"/>
        </w:rPr>
        <w:t>煤炭供应行业产生的温室气体是我国温室气体排放清单的重要构成部分，</w:t>
      </w:r>
      <w:r w:rsidR="000F745E">
        <w:rPr>
          <w:rFonts w:asciiTheme="minorEastAsia" w:hAnsiTheme="minorEastAsia" w:hint="eastAsia"/>
          <w:sz w:val="24"/>
        </w:rPr>
        <w:t>因此针对煤炭供给侧的温室气体排放进行研究</w:t>
      </w:r>
      <w:r w:rsidR="000F745E" w:rsidRPr="000F745E">
        <w:rPr>
          <w:rFonts w:asciiTheme="minorEastAsia" w:hAnsiTheme="minorEastAsia" w:hint="eastAsia"/>
          <w:sz w:val="24"/>
        </w:rPr>
        <w:t>对实现我国绿色低碳发展</w:t>
      </w:r>
      <w:r w:rsidR="000F745E">
        <w:rPr>
          <w:rFonts w:asciiTheme="minorEastAsia" w:hAnsiTheme="minorEastAsia" w:hint="eastAsia"/>
          <w:sz w:val="24"/>
        </w:rPr>
        <w:t>有重要的现实意义。鉴于此，</w:t>
      </w:r>
      <w:r w:rsidR="0090325D">
        <w:rPr>
          <w:rFonts w:asciiTheme="minorEastAsia" w:hAnsiTheme="minorEastAsia" w:hint="eastAsia"/>
          <w:sz w:val="24"/>
        </w:rPr>
        <w:t>本</w:t>
      </w:r>
      <w:r w:rsidR="000F745E">
        <w:rPr>
          <w:rFonts w:asciiTheme="minorEastAsia" w:hAnsiTheme="minorEastAsia" w:hint="eastAsia"/>
          <w:sz w:val="24"/>
        </w:rPr>
        <w:t>项目组开发并利用</w:t>
      </w:r>
      <w:proofErr w:type="spellStart"/>
      <w:r w:rsidR="000F745E">
        <w:rPr>
          <w:rFonts w:asciiTheme="minorEastAsia" w:hAnsiTheme="minorEastAsia" w:hint="eastAsia"/>
          <w:sz w:val="24"/>
        </w:rPr>
        <w:t>EnergyRt</w:t>
      </w:r>
      <w:proofErr w:type="spellEnd"/>
      <w:r w:rsidR="000F745E">
        <w:rPr>
          <w:rFonts w:asciiTheme="minorEastAsia" w:hAnsiTheme="minorEastAsia" w:hint="eastAsia"/>
          <w:sz w:val="24"/>
        </w:rPr>
        <w:t>模型，设定了两个情景，以2010年为基始年，2030年为目标年，分析了煤炭生产行业的二氧化碳排放和路径，分析了煤炭开采和运输环节的减排措施及减排成本，提出了我国煤炭产业发展以及碳减排的相关对策建议，为行业相关决策和下一步研究工作提供了很好的支撑。</w:t>
      </w:r>
    </w:p>
    <w:p w14:paraId="3B6A0749" w14:textId="77777777" w:rsidR="00AF6227" w:rsidRPr="004E704F" w:rsidRDefault="002D24D9" w:rsidP="004E704F">
      <w:pPr>
        <w:pStyle w:val="1"/>
        <w:rPr>
          <w:rFonts w:asciiTheme="majorEastAsia" w:eastAsiaTheme="majorEastAsia" w:hAnsiTheme="majorEastAsia"/>
          <w:sz w:val="24"/>
        </w:rPr>
      </w:pPr>
      <w:r w:rsidRPr="004E704F">
        <w:rPr>
          <w:rFonts w:asciiTheme="majorEastAsia" w:eastAsiaTheme="majorEastAsia" w:hAnsiTheme="majorEastAsia" w:hint="eastAsia"/>
          <w:sz w:val="24"/>
        </w:rPr>
        <w:t>1.</w:t>
      </w:r>
      <w:r w:rsidR="00014739" w:rsidRPr="004E704F">
        <w:rPr>
          <w:rFonts w:asciiTheme="majorEastAsia" w:eastAsiaTheme="majorEastAsia" w:hAnsiTheme="majorEastAsia" w:hint="eastAsia"/>
          <w:sz w:val="24"/>
        </w:rPr>
        <w:t>模型原理与参数设置</w:t>
      </w:r>
    </w:p>
    <w:p w14:paraId="6068FE26" w14:textId="77777777" w:rsidR="004C1593" w:rsidRDefault="002D24D9" w:rsidP="00B830F0">
      <w:pPr>
        <w:spacing w:line="360" w:lineRule="auto"/>
        <w:ind w:firstLineChars="200" w:firstLine="480"/>
        <w:rPr>
          <w:rFonts w:asciiTheme="minorEastAsia" w:hAnsiTheme="minorEastAsia"/>
          <w:sz w:val="24"/>
        </w:rPr>
      </w:pPr>
      <w:r>
        <w:rPr>
          <w:rFonts w:asciiTheme="minorEastAsia" w:hAnsiTheme="minorEastAsia" w:hint="eastAsia"/>
          <w:sz w:val="24"/>
        </w:rPr>
        <w:t>课题组</w:t>
      </w:r>
      <w:r w:rsidRPr="002D24D9">
        <w:rPr>
          <w:rFonts w:asciiTheme="minorEastAsia" w:hAnsiTheme="minorEastAsia" w:hint="eastAsia"/>
          <w:sz w:val="24"/>
        </w:rPr>
        <w:t>基于R</w:t>
      </w:r>
      <w:r>
        <w:rPr>
          <w:rFonts w:asciiTheme="minorEastAsia" w:hAnsiTheme="minorEastAsia" w:hint="eastAsia"/>
          <w:sz w:val="24"/>
        </w:rPr>
        <w:t>语言</w:t>
      </w:r>
      <w:proofErr w:type="spellStart"/>
      <w:r w:rsidRPr="002D24D9">
        <w:rPr>
          <w:rFonts w:asciiTheme="minorEastAsia" w:hAnsiTheme="minorEastAsia" w:hint="eastAsia"/>
          <w:sz w:val="24"/>
        </w:rPr>
        <w:t>energyRt</w:t>
      </w:r>
      <w:proofErr w:type="spellEnd"/>
      <w:r w:rsidRPr="002D24D9">
        <w:rPr>
          <w:rFonts w:asciiTheme="minorEastAsia" w:hAnsiTheme="minorEastAsia" w:hint="eastAsia"/>
          <w:sz w:val="24"/>
        </w:rPr>
        <w:t>软件包</w:t>
      </w:r>
      <w:r>
        <w:rPr>
          <w:rFonts w:asciiTheme="minorEastAsia" w:hAnsiTheme="minorEastAsia" w:hint="eastAsia"/>
          <w:sz w:val="24"/>
        </w:rPr>
        <w:t>开发并利用</w:t>
      </w:r>
      <w:r w:rsidR="00D16A4A">
        <w:rPr>
          <w:rFonts w:asciiTheme="minorEastAsia" w:hAnsiTheme="minorEastAsia" w:hint="eastAsia"/>
          <w:sz w:val="24"/>
        </w:rPr>
        <w:t>了</w:t>
      </w:r>
      <w:r>
        <w:rPr>
          <w:rFonts w:asciiTheme="minorEastAsia" w:hAnsiTheme="minorEastAsia" w:hint="eastAsia"/>
          <w:sz w:val="24"/>
        </w:rPr>
        <w:t>R-CSSM模型（</w:t>
      </w:r>
      <w:r w:rsidRPr="002D24D9">
        <w:rPr>
          <w:rFonts w:asciiTheme="minorEastAsia" w:hAnsiTheme="minorEastAsia" w:hint="eastAsia"/>
          <w:sz w:val="24"/>
        </w:rPr>
        <w:t>分区域煤炭供给模型</w:t>
      </w:r>
      <w:r>
        <w:rPr>
          <w:rFonts w:asciiTheme="minorEastAsia" w:hAnsiTheme="minorEastAsia" w:hint="eastAsia"/>
          <w:sz w:val="24"/>
        </w:rPr>
        <w:t>）。R-CSSM模型是一种自下而上的模型，</w:t>
      </w:r>
      <w:r w:rsidR="005A55BA">
        <w:rPr>
          <w:rFonts w:asciiTheme="minorEastAsia" w:hAnsiTheme="minorEastAsia" w:hint="eastAsia"/>
          <w:sz w:val="24"/>
        </w:rPr>
        <w:t>模型中</w:t>
      </w:r>
      <w:r w:rsidRPr="002D24D9">
        <w:rPr>
          <w:rFonts w:asciiTheme="minorEastAsia" w:hAnsiTheme="minorEastAsia" w:hint="eastAsia"/>
          <w:sz w:val="24"/>
        </w:rPr>
        <w:t>充分考虑地区差异，</w:t>
      </w:r>
      <w:r w:rsidR="005A55BA">
        <w:rPr>
          <w:rFonts w:asciiTheme="minorEastAsia" w:hAnsiTheme="minorEastAsia" w:hint="eastAsia"/>
          <w:sz w:val="24"/>
        </w:rPr>
        <w:t>分情景</w:t>
      </w:r>
      <w:r w:rsidRPr="002D24D9">
        <w:rPr>
          <w:rFonts w:asciiTheme="minorEastAsia" w:hAnsiTheme="minorEastAsia" w:hint="eastAsia"/>
          <w:sz w:val="24"/>
        </w:rPr>
        <w:t>分区域进行煤炭供给分析，从供给侧研究煤炭产业的CO</w:t>
      </w:r>
      <w:r w:rsidRPr="00D3509E">
        <w:rPr>
          <w:rFonts w:asciiTheme="minorEastAsia" w:hAnsiTheme="minorEastAsia" w:hint="eastAsia"/>
          <w:sz w:val="24"/>
          <w:vertAlign w:val="subscript"/>
        </w:rPr>
        <w:t>2</w:t>
      </w:r>
      <w:r w:rsidR="005A55BA">
        <w:rPr>
          <w:rFonts w:asciiTheme="minorEastAsia" w:hAnsiTheme="minorEastAsia" w:hint="eastAsia"/>
          <w:sz w:val="24"/>
        </w:rPr>
        <w:t>排放</w:t>
      </w:r>
      <w:r w:rsidRPr="002D24D9">
        <w:rPr>
          <w:rFonts w:asciiTheme="minorEastAsia" w:hAnsiTheme="minorEastAsia" w:hint="eastAsia"/>
          <w:sz w:val="24"/>
        </w:rPr>
        <w:t>问</w:t>
      </w:r>
      <w:r>
        <w:rPr>
          <w:rFonts w:asciiTheme="minorEastAsia" w:hAnsiTheme="minorEastAsia" w:hint="eastAsia"/>
          <w:sz w:val="24"/>
        </w:rPr>
        <w:t>题</w:t>
      </w:r>
      <w:r w:rsidR="00381665">
        <w:rPr>
          <w:rFonts w:asciiTheme="minorEastAsia" w:hAnsiTheme="minorEastAsia" w:hint="eastAsia"/>
          <w:sz w:val="24"/>
        </w:rPr>
        <w:t>，优化我国煤炭供应行业以期达到低成本、低排放</w:t>
      </w:r>
      <w:r>
        <w:rPr>
          <w:rFonts w:asciiTheme="minorEastAsia" w:hAnsiTheme="minorEastAsia" w:hint="eastAsia"/>
          <w:sz w:val="24"/>
        </w:rPr>
        <w:t>。</w:t>
      </w:r>
      <w:r w:rsidRPr="002D24D9">
        <w:rPr>
          <w:rFonts w:asciiTheme="minorEastAsia" w:hAnsiTheme="minorEastAsia" w:hint="eastAsia"/>
          <w:sz w:val="24"/>
        </w:rPr>
        <w:t>模型的约束条件主要考虑</w:t>
      </w:r>
      <w:r>
        <w:rPr>
          <w:rFonts w:asciiTheme="minorEastAsia" w:hAnsiTheme="minorEastAsia" w:hint="eastAsia"/>
          <w:sz w:val="24"/>
        </w:rPr>
        <w:t>分省区</w:t>
      </w:r>
      <w:r w:rsidRPr="002D24D9">
        <w:rPr>
          <w:rFonts w:asciiTheme="minorEastAsia" w:hAnsiTheme="minorEastAsia" w:hint="eastAsia"/>
          <w:sz w:val="24"/>
        </w:rPr>
        <w:t>资源的约束</w:t>
      </w:r>
      <w:r>
        <w:rPr>
          <w:rFonts w:asciiTheme="minorEastAsia" w:hAnsiTheme="minorEastAsia" w:hint="eastAsia"/>
          <w:sz w:val="24"/>
        </w:rPr>
        <w:t>、产能约束</w:t>
      </w:r>
      <w:r w:rsidRPr="002D24D9">
        <w:rPr>
          <w:rFonts w:asciiTheme="minorEastAsia" w:hAnsiTheme="minorEastAsia" w:hint="eastAsia"/>
          <w:sz w:val="24"/>
        </w:rPr>
        <w:t>、国家煤炭行业相关政策（环境政策、经济政策）约束、不同地区间煤炭运输能力约束、技术经济参数包括技术的经济成本、技术效率</w:t>
      </w:r>
      <w:r w:rsidR="00C03725">
        <w:rPr>
          <w:rFonts w:asciiTheme="minorEastAsia" w:hAnsiTheme="minorEastAsia" w:hint="eastAsia"/>
          <w:sz w:val="24"/>
        </w:rPr>
        <w:t>、减排</w:t>
      </w:r>
      <w:r w:rsidR="00C03725">
        <w:rPr>
          <w:rFonts w:asciiTheme="minorEastAsia" w:hAnsiTheme="minorEastAsia" w:hint="eastAsia"/>
          <w:sz w:val="24"/>
        </w:rPr>
        <w:lastRenderedPageBreak/>
        <w:t>技术成本及潜力</w:t>
      </w:r>
      <w:r w:rsidRPr="002D24D9">
        <w:rPr>
          <w:rFonts w:asciiTheme="minorEastAsia" w:hAnsiTheme="minorEastAsia" w:hint="eastAsia"/>
          <w:sz w:val="24"/>
        </w:rPr>
        <w:t>等。</w:t>
      </w:r>
      <w:r w:rsidR="00B830F0" w:rsidRPr="00B830F0">
        <w:rPr>
          <w:rFonts w:asciiTheme="minorEastAsia" w:hAnsiTheme="minorEastAsia" w:hint="eastAsia"/>
          <w:sz w:val="24"/>
        </w:rPr>
        <w:t>主要研究内容包括：</w:t>
      </w:r>
    </w:p>
    <w:p w14:paraId="6E647FF7" w14:textId="01039795" w:rsidR="004C1593" w:rsidRPr="004C1593" w:rsidRDefault="00B830F0" w:rsidP="004C1593">
      <w:pPr>
        <w:pStyle w:val="ae"/>
        <w:numPr>
          <w:ilvl w:val="0"/>
          <w:numId w:val="3"/>
        </w:numPr>
        <w:spacing w:line="360" w:lineRule="auto"/>
        <w:ind w:firstLineChars="0"/>
        <w:rPr>
          <w:rFonts w:asciiTheme="minorEastAsia" w:hAnsiTheme="minorEastAsia"/>
          <w:sz w:val="24"/>
        </w:rPr>
      </w:pPr>
      <w:r w:rsidRPr="004C1593">
        <w:rPr>
          <w:rFonts w:asciiTheme="minorEastAsia" w:hAnsiTheme="minorEastAsia" w:hint="eastAsia"/>
          <w:sz w:val="24"/>
        </w:rPr>
        <w:t>利用R模型构建自底向上的煤炭供给模型，包括煤炭开采, 运输两个环节的Commodity, Supply, Demand, Technology进行分析及定义；</w:t>
      </w:r>
    </w:p>
    <w:p w14:paraId="081C74B7" w14:textId="01DACD54" w:rsidR="004C1593" w:rsidRPr="004C1593" w:rsidRDefault="00B830F0" w:rsidP="004C1593">
      <w:pPr>
        <w:pStyle w:val="ae"/>
        <w:numPr>
          <w:ilvl w:val="0"/>
          <w:numId w:val="3"/>
        </w:numPr>
        <w:spacing w:line="360" w:lineRule="auto"/>
        <w:ind w:firstLineChars="0"/>
        <w:rPr>
          <w:rFonts w:asciiTheme="minorEastAsia" w:hAnsiTheme="minorEastAsia"/>
          <w:sz w:val="24"/>
        </w:rPr>
      </w:pPr>
      <w:r w:rsidRPr="004C1593">
        <w:rPr>
          <w:rFonts w:asciiTheme="minorEastAsia" w:hAnsiTheme="minorEastAsia" w:hint="eastAsia"/>
          <w:sz w:val="24"/>
        </w:rPr>
        <w:t>定性描述给出未来影响中国煤炭供给总量、结构及峰值的社会经济，能源发展，技术发展，环境资源禀赋、消费方式等情景发展框架；</w:t>
      </w:r>
    </w:p>
    <w:p w14:paraId="571819AB" w14:textId="4203CAB6" w:rsidR="004C1593" w:rsidRPr="004C1593" w:rsidRDefault="00B830F0" w:rsidP="004C1593">
      <w:pPr>
        <w:pStyle w:val="ae"/>
        <w:numPr>
          <w:ilvl w:val="0"/>
          <w:numId w:val="3"/>
        </w:numPr>
        <w:spacing w:line="360" w:lineRule="auto"/>
        <w:ind w:firstLineChars="0"/>
        <w:rPr>
          <w:rFonts w:asciiTheme="minorEastAsia" w:hAnsiTheme="minorEastAsia"/>
          <w:sz w:val="24"/>
        </w:rPr>
      </w:pPr>
      <w:r w:rsidRPr="004C1593">
        <w:rPr>
          <w:rFonts w:asciiTheme="minorEastAsia" w:hAnsiTheme="minorEastAsia" w:hint="eastAsia"/>
          <w:sz w:val="24"/>
        </w:rPr>
        <w:t>针对不同的发展情景，依据发展框架对每一个具体情景的指标进行量化；</w:t>
      </w:r>
    </w:p>
    <w:p w14:paraId="6DA65954" w14:textId="26847A20" w:rsidR="002D24D9" w:rsidRPr="004C1593" w:rsidRDefault="00B830F0" w:rsidP="004C1593">
      <w:pPr>
        <w:pStyle w:val="ae"/>
        <w:numPr>
          <w:ilvl w:val="0"/>
          <w:numId w:val="3"/>
        </w:numPr>
        <w:spacing w:line="360" w:lineRule="auto"/>
        <w:ind w:firstLineChars="0"/>
        <w:rPr>
          <w:rFonts w:asciiTheme="minorEastAsia" w:hAnsiTheme="minorEastAsia"/>
          <w:sz w:val="24"/>
        </w:rPr>
      </w:pPr>
      <w:r w:rsidRPr="004C1593">
        <w:rPr>
          <w:rFonts w:asciiTheme="minorEastAsia" w:hAnsiTheme="minorEastAsia" w:hint="eastAsia"/>
          <w:sz w:val="24"/>
        </w:rPr>
        <w:t>分析不同情景下煤炭供给侧的排放峰值及技术路径。</w:t>
      </w:r>
    </w:p>
    <w:p w14:paraId="21BDD53E" w14:textId="77777777" w:rsidR="00C03725" w:rsidRPr="004E704F" w:rsidRDefault="00014739" w:rsidP="004E704F">
      <w:pPr>
        <w:pStyle w:val="2"/>
        <w:rPr>
          <w:sz w:val="24"/>
        </w:rPr>
      </w:pPr>
      <w:r w:rsidRPr="004E704F">
        <w:rPr>
          <w:rFonts w:hint="eastAsia"/>
          <w:sz w:val="24"/>
        </w:rPr>
        <w:t>1.1</w:t>
      </w:r>
      <w:r w:rsidR="00C03725" w:rsidRPr="004E704F">
        <w:rPr>
          <w:rFonts w:hint="eastAsia"/>
          <w:sz w:val="24"/>
        </w:rPr>
        <w:t>资源赋存</w:t>
      </w:r>
    </w:p>
    <w:p w14:paraId="0AAA6A64" w14:textId="77777777" w:rsidR="00C03725" w:rsidRPr="00585BF6" w:rsidRDefault="006954F5" w:rsidP="00C03725">
      <w:pPr>
        <w:spacing w:line="360" w:lineRule="auto"/>
        <w:ind w:firstLineChars="200" w:firstLine="480"/>
        <w:rPr>
          <w:rFonts w:asciiTheme="minorEastAsia" w:hAnsiTheme="minorEastAsia"/>
          <w:sz w:val="24"/>
        </w:rPr>
      </w:pPr>
      <w:r>
        <w:rPr>
          <w:rFonts w:asciiTheme="minorEastAsia" w:hAnsiTheme="minorEastAsia" w:hint="eastAsia"/>
          <w:sz w:val="24"/>
        </w:rPr>
        <w:t>我国煤炭资源分布面广、煤</w:t>
      </w:r>
      <w:r w:rsidRPr="006954F5">
        <w:rPr>
          <w:rFonts w:asciiTheme="minorEastAsia" w:hAnsiTheme="minorEastAsia" w:hint="eastAsia"/>
          <w:sz w:val="24"/>
        </w:rPr>
        <w:t>种齐全</w:t>
      </w:r>
      <w:r>
        <w:rPr>
          <w:rFonts w:asciiTheme="minorEastAsia" w:hAnsiTheme="minorEastAsia" w:hint="eastAsia"/>
          <w:sz w:val="24"/>
        </w:rPr>
        <w:t>、</w:t>
      </w:r>
      <w:r w:rsidRPr="006954F5">
        <w:rPr>
          <w:rFonts w:asciiTheme="minorEastAsia" w:hAnsiTheme="minorEastAsia" w:hint="eastAsia"/>
          <w:sz w:val="24"/>
        </w:rPr>
        <w:t>煤质较好</w:t>
      </w:r>
      <w:r>
        <w:rPr>
          <w:rFonts w:asciiTheme="minorEastAsia" w:hAnsiTheme="minorEastAsia" w:hint="eastAsia"/>
          <w:sz w:val="24"/>
        </w:rPr>
        <w:t>、</w:t>
      </w:r>
      <w:r w:rsidRPr="006954F5">
        <w:rPr>
          <w:rFonts w:asciiTheme="minorEastAsia" w:hAnsiTheme="minorEastAsia" w:hint="eastAsia"/>
          <w:sz w:val="24"/>
        </w:rPr>
        <w:t>开发条件良好</w:t>
      </w:r>
      <w:r>
        <w:rPr>
          <w:rFonts w:asciiTheme="minorEastAsia" w:hAnsiTheme="minorEastAsia" w:hint="eastAsia"/>
          <w:sz w:val="24"/>
        </w:rPr>
        <w:t>、</w:t>
      </w:r>
      <w:r w:rsidRPr="006954F5">
        <w:rPr>
          <w:rFonts w:asciiTheme="minorEastAsia" w:hAnsiTheme="minorEastAsia" w:hint="eastAsia"/>
          <w:sz w:val="24"/>
        </w:rPr>
        <w:t>资源相对比较集中</w:t>
      </w:r>
      <w:r>
        <w:rPr>
          <w:rFonts w:asciiTheme="minorEastAsia" w:hAnsiTheme="minorEastAsia" w:hint="eastAsia"/>
          <w:sz w:val="24"/>
        </w:rPr>
        <w:t>、</w:t>
      </w:r>
      <w:r w:rsidRPr="006954F5">
        <w:rPr>
          <w:rFonts w:asciiTheme="minorEastAsia" w:hAnsiTheme="minorEastAsia" w:hint="eastAsia"/>
          <w:sz w:val="24"/>
        </w:rPr>
        <w:t>空间分布不均</w:t>
      </w:r>
      <w:r>
        <w:rPr>
          <w:rFonts w:asciiTheme="minorEastAsia" w:hAnsiTheme="minorEastAsia" w:hint="eastAsia"/>
          <w:sz w:val="24"/>
        </w:rPr>
        <w:t>，</w:t>
      </w:r>
      <w:r w:rsidRPr="006954F5">
        <w:rPr>
          <w:rFonts w:asciiTheme="minorEastAsia" w:hAnsiTheme="minorEastAsia" w:hint="eastAsia"/>
          <w:sz w:val="24"/>
        </w:rPr>
        <w:t>经济布局与煤炭资源不相适应。</w:t>
      </w:r>
      <w:r w:rsidR="00C03725">
        <w:rPr>
          <w:rFonts w:asciiTheme="minorEastAsia" w:hAnsiTheme="minorEastAsia" w:hint="eastAsia"/>
          <w:sz w:val="24"/>
        </w:rPr>
        <w:t>以山西为中心</w:t>
      </w:r>
      <w:r w:rsidR="00C03725" w:rsidRPr="00585BF6">
        <w:rPr>
          <w:rFonts w:asciiTheme="minorEastAsia" w:hAnsiTheme="minorEastAsia" w:hint="eastAsia"/>
          <w:sz w:val="24"/>
        </w:rPr>
        <w:t>包括内蒙古中西部、河北、河南、宁夏和陕西，是全国最大的能源基地。已探明储量达7000亿吨，占全国储量的70%。以黑龙江为中心的东北煤炭区</w:t>
      </w:r>
      <w:r w:rsidR="00C03725">
        <w:rPr>
          <w:rFonts w:asciiTheme="minorEastAsia" w:hAnsiTheme="minorEastAsia" w:hint="eastAsia"/>
          <w:sz w:val="24"/>
        </w:rPr>
        <w:t>包括辽宁、吉林、黑龙江和内蒙古东部地区，</w:t>
      </w:r>
      <w:r w:rsidR="00C03725" w:rsidRPr="00585BF6">
        <w:rPr>
          <w:rFonts w:asciiTheme="minorEastAsia" w:hAnsiTheme="minorEastAsia" w:hint="eastAsia"/>
          <w:sz w:val="24"/>
        </w:rPr>
        <w:t>煤炭产量仅次于华北地区，居全国第二位</w:t>
      </w:r>
      <w:r w:rsidR="00C03725">
        <w:rPr>
          <w:rFonts w:asciiTheme="minorEastAsia" w:hAnsiTheme="minorEastAsia" w:hint="eastAsia"/>
          <w:sz w:val="24"/>
        </w:rPr>
        <w:t>。</w:t>
      </w:r>
      <w:r w:rsidR="00C03725" w:rsidRPr="00585BF6">
        <w:rPr>
          <w:rFonts w:asciiTheme="minorEastAsia" w:hAnsiTheme="minorEastAsia" w:hint="eastAsia"/>
          <w:sz w:val="24"/>
        </w:rPr>
        <w:t>以兖徐、两准为中心的华东煤炭区。该区包括鲁西南、苏北和皖北煤田，是中国三个大型煤炭基地。两淮煤田面积约1万平方公里，探明储量达220亿吨。鲁西南</w:t>
      </w:r>
      <w:r w:rsidR="00C03725">
        <w:rPr>
          <w:rFonts w:asciiTheme="minorEastAsia" w:hAnsiTheme="minorEastAsia" w:hint="eastAsia"/>
          <w:sz w:val="24"/>
        </w:rPr>
        <w:t>煤区</w:t>
      </w:r>
      <w:r w:rsidR="00C03725" w:rsidRPr="00585BF6">
        <w:rPr>
          <w:rFonts w:asciiTheme="minorEastAsia" w:hAnsiTheme="minorEastAsia" w:hint="eastAsia"/>
          <w:sz w:val="24"/>
        </w:rPr>
        <w:t>含煤面积达4000多平方公里，探明储量达91</w:t>
      </w:r>
      <w:r w:rsidR="00C03725">
        <w:rPr>
          <w:rFonts w:asciiTheme="minorEastAsia" w:hAnsiTheme="minorEastAsia" w:hint="eastAsia"/>
          <w:sz w:val="24"/>
        </w:rPr>
        <w:t>亿吨。</w:t>
      </w:r>
      <w:r w:rsidR="00C03725" w:rsidRPr="00585BF6">
        <w:rPr>
          <w:rFonts w:asciiTheme="minorEastAsia" w:hAnsiTheme="minorEastAsia" w:hint="eastAsia"/>
          <w:sz w:val="24"/>
        </w:rPr>
        <w:t xml:space="preserve">以贵州为中心的西南煤炭区。云贵川3省已探明储量688亿吨，占全国总储量的10%，居全国第三位。  </w:t>
      </w:r>
    </w:p>
    <w:p w14:paraId="46C04104" w14:textId="77777777" w:rsidR="00C03725" w:rsidRPr="004E704F" w:rsidRDefault="00014739" w:rsidP="004E704F">
      <w:pPr>
        <w:pStyle w:val="2"/>
        <w:rPr>
          <w:sz w:val="24"/>
        </w:rPr>
      </w:pPr>
      <w:r w:rsidRPr="004E704F">
        <w:rPr>
          <w:rFonts w:hint="eastAsia"/>
          <w:sz w:val="24"/>
        </w:rPr>
        <w:t>1.2</w:t>
      </w:r>
      <w:r w:rsidRPr="004E704F">
        <w:rPr>
          <w:rFonts w:hint="eastAsia"/>
          <w:sz w:val="24"/>
        </w:rPr>
        <w:t>政策约束</w:t>
      </w:r>
    </w:p>
    <w:p w14:paraId="588B0341" w14:textId="77777777" w:rsidR="00C03725" w:rsidRDefault="00C03725" w:rsidP="00C03725">
      <w:pPr>
        <w:spacing w:line="360" w:lineRule="auto"/>
        <w:ind w:firstLineChars="200" w:firstLine="480"/>
        <w:rPr>
          <w:rFonts w:asciiTheme="minorEastAsia" w:hAnsiTheme="minorEastAsia"/>
          <w:sz w:val="24"/>
        </w:rPr>
      </w:pPr>
      <w:r>
        <w:rPr>
          <w:rFonts w:asciiTheme="minorEastAsia" w:hAnsiTheme="minorEastAsia" w:hint="eastAsia"/>
          <w:sz w:val="24"/>
        </w:rPr>
        <w:t>加快大基地外煤矿关闭退出，</w:t>
      </w:r>
      <w:r w:rsidRPr="00717D6E">
        <w:rPr>
          <w:rFonts w:asciiTheme="minorEastAsia" w:hAnsiTheme="minorEastAsia" w:hint="eastAsia"/>
          <w:sz w:val="24"/>
        </w:rPr>
        <w:t>北京、吉林、江苏资源枯竭，福建、江西、湖北、湖南、广西、重庆、四川等地矿井规模小，开采条件差，安全威胁大，矿井规模小，瓦斯灾害严重，水文地质条件复杂，加快煤矿关闭退出。青海做好重要水源地、高寒草甸和冻土层生态环境保护，加快矿区环境恢复治理，从严控制煤矿建设生产。降低鲁西、冀中、河南、两淮基地生产规模。</w:t>
      </w:r>
      <w:r w:rsidRPr="005A55BA">
        <w:rPr>
          <w:rFonts w:asciiTheme="minorEastAsia" w:hAnsiTheme="minorEastAsia" w:hint="eastAsia"/>
          <w:sz w:val="24"/>
        </w:rPr>
        <w:t>鲁西、冀中、河南、两淮基地资源储量有限，煤矿开采深度大，部分矿井开采深度超过千米，安全生产压力大。基地内人口稠密，</w:t>
      </w:r>
      <w:r w:rsidR="00362537">
        <w:rPr>
          <w:rFonts w:asciiTheme="minorEastAsia" w:hAnsiTheme="minorEastAsia" w:hint="eastAsia"/>
          <w:sz w:val="24"/>
        </w:rPr>
        <w:t>地</w:t>
      </w:r>
      <w:r w:rsidRPr="005A55BA">
        <w:rPr>
          <w:rFonts w:asciiTheme="minorEastAsia" w:hAnsiTheme="minorEastAsia" w:hint="eastAsia"/>
          <w:sz w:val="24"/>
        </w:rPr>
        <w:t>下煤炭资源开发与地面建设矛盾突出。重点做好资源枯竭、灾害严重煤矿退出，逐步关闭采深超过千米的矿井，合理划定煤炭禁</w:t>
      </w:r>
      <w:r w:rsidRPr="005A55BA">
        <w:rPr>
          <w:rFonts w:asciiTheme="minorEastAsia" w:hAnsiTheme="minorEastAsia" w:hint="eastAsia"/>
          <w:sz w:val="24"/>
        </w:rPr>
        <w:lastRenderedPageBreak/>
        <w:t>采、限采、缓采区范围，压缩煤炭生产规模</w:t>
      </w:r>
      <w:r w:rsidRPr="00717D6E">
        <w:rPr>
          <w:rFonts w:asciiTheme="minorEastAsia" w:hAnsiTheme="minorEastAsia" w:hint="eastAsia"/>
          <w:sz w:val="24"/>
        </w:rPr>
        <w:t>控制蒙东(东北)、晋北、晋中、晋东、云贵、宁东基地生产规模。</w:t>
      </w:r>
      <w:r w:rsidRPr="005A55BA">
        <w:rPr>
          <w:rFonts w:asciiTheme="minorEastAsia" w:hAnsiTheme="minorEastAsia" w:hint="eastAsia"/>
          <w:sz w:val="24"/>
        </w:rPr>
        <w:t>这6个煤炭基地开发强度大，投资效益降低，要控制生产规模，调整生产结构</w:t>
      </w:r>
      <w:r w:rsidRPr="00717D6E">
        <w:rPr>
          <w:rFonts w:asciiTheme="minorEastAsia" w:hAnsiTheme="minorEastAsia" w:hint="eastAsia"/>
          <w:sz w:val="24"/>
        </w:rPr>
        <w:t>有序推进陕北、神东、黄陇、新疆基地建设。</w:t>
      </w:r>
      <w:r w:rsidRPr="005A55BA">
        <w:rPr>
          <w:rFonts w:asciiTheme="minorEastAsia" w:hAnsiTheme="minorEastAsia" w:hint="eastAsia"/>
          <w:sz w:val="24"/>
        </w:rPr>
        <w:t>陕北、神东、黄陇、新疆基地煤炭资源丰富，开采条件好，将是今后发展</w:t>
      </w:r>
      <w:r w:rsidR="009D0DE4">
        <w:rPr>
          <w:rFonts w:asciiTheme="minorEastAsia" w:hAnsiTheme="minorEastAsia" w:hint="eastAsia"/>
          <w:sz w:val="24"/>
        </w:rPr>
        <w:t>的</w:t>
      </w:r>
      <w:r w:rsidRPr="005A55BA">
        <w:rPr>
          <w:rFonts w:asciiTheme="minorEastAsia" w:hAnsiTheme="minorEastAsia" w:hint="eastAsia"/>
          <w:sz w:val="24"/>
        </w:rPr>
        <w:t>重点。</w:t>
      </w:r>
    </w:p>
    <w:p w14:paraId="6808B56B" w14:textId="77777777" w:rsidR="00C03725" w:rsidRPr="004E704F" w:rsidRDefault="00014739" w:rsidP="004E704F">
      <w:pPr>
        <w:pStyle w:val="2"/>
        <w:rPr>
          <w:sz w:val="24"/>
        </w:rPr>
      </w:pPr>
      <w:r w:rsidRPr="004E704F">
        <w:rPr>
          <w:rFonts w:hint="eastAsia"/>
          <w:sz w:val="24"/>
        </w:rPr>
        <w:t>1.3</w:t>
      </w:r>
      <w:r w:rsidRPr="004E704F">
        <w:rPr>
          <w:rFonts w:hint="eastAsia"/>
          <w:sz w:val="24"/>
        </w:rPr>
        <w:t>运能约束</w:t>
      </w:r>
    </w:p>
    <w:p w14:paraId="3124BDC9" w14:textId="77777777" w:rsidR="00C03725" w:rsidRDefault="00C03725" w:rsidP="00C03725">
      <w:pPr>
        <w:spacing w:line="360" w:lineRule="auto"/>
        <w:rPr>
          <w:rFonts w:asciiTheme="minorEastAsia" w:hAnsiTheme="minorEastAsia"/>
          <w:sz w:val="24"/>
        </w:rPr>
      </w:pPr>
      <w:r>
        <w:rPr>
          <w:rFonts w:asciiTheme="minorEastAsia" w:hAnsiTheme="minorEastAsia" w:hint="eastAsia"/>
          <w:sz w:val="24"/>
        </w:rPr>
        <w:t xml:space="preserve">    </w:t>
      </w:r>
      <w:r w:rsidRPr="007A2815">
        <w:rPr>
          <w:rFonts w:asciiTheme="minorEastAsia" w:hAnsiTheme="minorEastAsia" w:hint="eastAsia"/>
          <w:sz w:val="24"/>
        </w:rPr>
        <w:t>我国的主要铁路运煤通道，主要都集中在“三西”煤外运通道、出关运煤通道、向华东地区调运煤炭的铁路运输通道以及北煤南调通道。煤炭经铁路输送到环渤海各港口，再通过海路输送到东南沿海各省，形成铁水联运模式，目前我国东南沿海各省所需煤炭主要来源于“三西”及进口煤，少量云贵煤，主要通过铁水联运方式，部分通过铁路、公路直达</w:t>
      </w:r>
      <w:r>
        <w:rPr>
          <w:rFonts w:asciiTheme="minorEastAsia" w:hAnsiTheme="minorEastAsia" w:hint="eastAsia"/>
          <w:sz w:val="24"/>
        </w:rPr>
        <w:t>。</w:t>
      </w:r>
      <w:r w:rsidRPr="007A2815">
        <w:rPr>
          <w:rFonts w:asciiTheme="minorEastAsia" w:hAnsiTheme="minorEastAsia" w:hint="eastAsia"/>
          <w:sz w:val="24"/>
        </w:rPr>
        <w:t>公路运输具有很强的便捷灵活性，可点对点运输。但由于成本因素，理论上，煤炭公路运输只适合区域内近距离少量运输,而目前事实上，由于当前铁路运力仍不足，煤炭公路运输作为铁路和水路运输的重要补充，在产煤大省如山西、陕西、内蒙古、新疆等以及中转地河南、湖南等，有相当一部分煤炭通过公路中距离调运</w:t>
      </w:r>
      <w:r>
        <w:rPr>
          <w:rFonts w:asciiTheme="minorEastAsia" w:hAnsiTheme="minorEastAsia" w:hint="eastAsia"/>
          <w:sz w:val="24"/>
        </w:rPr>
        <w:t>。</w:t>
      </w:r>
    </w:p>
    <w:p w14:paraId="6991A1C8" w14:textId="77777777" w:rsidR="00C03725" w:rsidRPr="004E704F" w:rsidRDefault="00014739" w:rsidP="004E704F">
      <w:pPr>
        <w:pStyle w:val="2"/>
        <w:rPr>
          <w:sz w:val="24"/>
        </w:rPr>
      </w:pPr>
      <w:r w:rsidRPr="004E704F">
        <w:rPr>
          <w:rFonts w:hint="eastAsia"/>
          <w:sz w:val="24"/>
        </w:rPr>
        <w:t>1.4</w:t>
      </w:r>
      <w:r w:rsidRPr="004E704F">
        <w:rPr>
          <w:rFonts w:hint="eastAsia"/>
          <w:sz w:val="24"/>
        </w:rPr>
        <w:t>成本约束</w:t>
      </w:r>
    </w:p>
    <w:p w14:paraId="12F866BA" w14:textId="77777777" w:rsidR="00C03725" w:rsidRDefault="00C03725" w:rsidP="00C03725">
      <w:pPr>
        <w:spacing w:line="360" w:lineRule="auto"/>
        <w:rPr>
          <w:rFonts w:asciiTheme="minorEastAsia" w:hAnsiTheme="minorEastAsia"/>
          <w:sz w:val="24"/>
        </w:rPr>
      </w:pPr>
      <w:r>
        <w:rPr>
          <w:rFonts w:asciiTheme="minorEastAsia" w:hAnsiTheme="minorEastAsia" w:hint="eastAsia"/>
          <w:sz w:val="24"/>
        </w:rPr>
        <w:t xml:space="preserve">    新疆煤炭基地资源丰富，多数煤矿正处于起步时期，开发时间短、程度浅，人口稀少经济落后，所以煤炭生产成本最低；晋陕蒙宁甘地区煤炭资源丰富，多数煤矿正值青壮年时期，开发潜力大，所以煤炭生产成本较低；西南地区煤炭资源赋存较多，人口较多但经济落后，但矿井较深，所以煤炭生产成本中等；</w:t>
      </w:r>
      <w:r w:rsidRPr="007A2815">
        <w:rPr>
          <w:rFonts w:asciiTheme="minorEastAsia" w:hAnsiTheme="minorEastAsia" w:hint="eastAsia"/>
          <w:sz w:val="24"/>
        </w:rPr>
        <w:t>东北地区开发</w:t>
      </w:r>
      <w:r>
        <w:rPr>
          <w:rFonts w:asciiTheme="minorEastAsia" w:hAnsiTheme="minorEastAsia" w:hint="eastAsia"/>
          <w:sz w:val="24"/>
        </w:rPr>
        <w:t>时间早、</w:t>
      </w:r>
      <w:r w:rsidRPr="007A2815">
        <w:rPr>
          <w:rFonts w:asciiTheme="minorEastAsia" w:hAnsiTheme="minorEastAsia" w:hint="eastAsia"/>
          <w:sz w:val="24"/>
        </w:rPr>
        <w:t>强度大，</w:t>
      </w:r>
      <w:r>
        <w:rPr>
          <w:rFonts w:asciiTheme="minorEastAsia" w:hAnsiTheme="minorEastAsia" w:hint="eastAsia"/>
          <w:sz w:val="24"/>
        </w:rPr>
        <w:t>投资效益低，且吉林省煤炭资源面临枯竭，所以煤炭生产成本较高；中南、华南、东南地区煤炭资源赋存少，人口众多经济发达，所以煤炭生产成本高；华东地区</w:t>
      </w:r>
      <w:r w:rsidRPr="007A2815">
        <w:rPr>
          <w:rFonts w:asciiTheme="minorEastAsia" w:hAnsiTheme="minorEastAsia" w:hint="eastAsia"/>
          <w:sz w:val="24"/>
        </w:rPr>
        <w:t>离消费市场近，开发时间早</w:t>
      </w:r>
      <w:r>
        <w:rPr>
          <w:rFonts w:asciiTheme="minorEastAsia" w:hAnsiTheme="minorEastAsia" w:hint="eastAsia"/>
          <w:sz w:val="24"/>
        </w:rPr>
        <w:t>、强度大</w:t>
      </w:r>
      <w:r w:rsidRPr="007A2815">
        <w:rPr>
          <w:rFonts w:asciiTheme="minorEastAsia" w:hAnsiTheme="minorEastAsia" w:hint="eastAsia"/>
          <w:sz w:val="24"/>
        </w:rPr>
        <w:t>，资源日渐枯竭</w:t>
      </w:r>
      <w:r>
        <w:rPr>
          <w:rFonts w:asciiTheme="minorEastAsia" w:hAnsiTheme="minorEastAsia" w:hint="eastAsia"/>
          <w:sz w:val="24"/>
        </w:rPr>
        <w:t>，且人口稠密经济发达，所以煤炭生产成本最高。</w:t>
      </w:r>
    </w:p>
    <w:p w14:paraId="5E89A4B7" w14:textId="77777777" w:rsidR="00C03725" w:rsidRPr="004E704F" w:rsidRDefault="00014739" w:rsidP="004E704F">
      <w:pPr>
        <w:pStyle w:val="2"/>
        <w:rPr>
          <w:sz w:val="24"/>
        </w:rPr>
      </w:pPr>
      <w:r w:rsidRPr="004E704F">
        <w:rPr>
          <w:rFonts w:hint="eastAsia"/>
          <w:sz w:val="24"/>
        </w:rPr>
        <w:t>1.5</w:t>
      </w:r>
      <w:r w:rsidRPr="004E704F">
        <w:rPr>
          <w:rFonts w:hint="eastAsia"/>
          <w:sz w:val="24"/>
        </w:rPr>
        <w:t>排放系数</w:t>
      </w:r>
    </w:p>
    <w:p w14:paraId="6180F4B1" w14:textId="77777777" w:rsidR="00C03725" w:rsidRPr="005B15D7" w:rsidRDefault="00C03725" w:rsidP="00C03725">
      <w:pPr>
        <w:spacing w:line="360" w:lineRule="auto"/>
        <w:rPr>
          <w:rFonts w:asciiTheme="minorEastAsia" w:hAnsiTheme="minorEastAsia"/>
          <w:sz w:val="24"/>
        </w:rPr>
      </w:pPr>
      <w:r>
        <w:rPr>
          <w:rFonts w:asciiTheme="minorEastAsia" w:hAnsiTheme="minorEastAsia" w:hint="eastAsia"/>
          <w:sz w:val="24"/>
        </w:rPr>
        <w:t xml:space="preserve">    煤炭生产环节温室气体排放主要来源于四个方面：</w:t>
      </w:r>
      <w:r w:rsidRPr="00FB41DC">
        <w:rPr>
          <w:rFonts w:asciiTheme="minorEastAsia" w:hAnsiTheme="minorEastAsia" w:hint="eastAsia"/>
          <w:sz w:val="24"/>
        </w:rPr>
        <w:t>开采时</w:t>
      </w:r>
      <w:r>
        <w:rPr>
          <w:rFonts w:asciiTheme="minorEastAsia" w:hAnsiTheme="minorEastAsia" w:hint="eastAsia"/>
          <w:sz w:val="24"/>
        </w:rPr>
        <w:t>CH</w:t>
      </w:r>
      <w:r w:rsidRPr="00320ABD">
        <w:rPr>
          <w:rFonts w:asciiTheme="minorEastAsia" w:hAnsiTheme="minorEastAsia" w:hint="eastAsia"/>
          <w:sz w:val="24"/>
          <w:vertAlign w:val="subscript"/>
        </w:rPr>
        <w:t>4</w:t>
      </w:r>
      <w:r w:rsidR="00320ABD">
        <w:rPr>
          <w:rFonts w:asciiTheme="minorEastAsia" w:hAnsiTheme="minorEastAsia" w:hint="eastAsia"/>
          <w:sz w:val="24"/>
        </w:rPr>
        <w:t>逃逸排放、采</w:t>
      </w:r>
      <w:r w:rsidRPr="00FB41DC">
        <w:rPr>
          <w:rFonts w:asciiTheme="minorEastAsia" w:hAnsiTheme="minorEastAsia" w:hint="eastAsia"/>
          <w:sz w:val="24"/>
        </w:rPr>
        <w:t>后活动CH</w:t>
      </w:r>
      <w:r w:rsidRPr="00DF1D56">
        <w:rPr>
          <w:rFonts w:asciiTheme="minorEastAsia" w:hAnsiTheme="minorEastAsia" w:hint="eastAsia"/>
          <w:sz w:val="24"/>
          <w:vertAlign w:val="subscript"/>
        </w:rPr>
        <w:t>4</w:t>
      </w:r>
      <w:r w:rsidRPr="00FB41DC">
        <w:rPr>
          <w:rFonts w:asciiTheme="minorEastAsia" w:hAnsiTheme="minorEastAsia" w:hint="eastAsia"/>
          <w:sz w:val="24"/>
        </w:rPr>
        <w:t>逃逸排放、开采时煤自燃排放、</w:t>
      </w:r>
      <w:r>
        <w:rPr>
          <w:rFonts w:asciiTheme="minorEastAsia" w:hAnsiTheme="minorEastAsia" w:hint="eastAsia"/>
          <w:sz w:val="24"/>
        </w:rPr>
        <w:t>采选</w:t>
      </w:r>
      <w:r w:rsidRPr="00FB41DC">
        <w:rPr>
          <w:rFonts w:asciiTheme="minorEastAsia" w:hAnsiTheme="minorEastAsia" w:hint="eastAsia"/>
          <w:sz w:val="24"/>
        </w:rPr>
        <w:t>时能耗排放</w:t>
      </w:r>
      <w:r>
        <w:rPr>
          <w:rFonts w:asciiTheme="minorEastAsia" w:hAnsiTheme="minorEastAsia" w:hint="eastAsia"/>
          <w:sz w:val="24"/>
        </w:rPr>
        <w:t>。以省为单位分析煤</w:t>
      </w:r>
      <w:r>
        <w:rPr>
          <w:rFonts w:asciiTheme="minorEastAsia" w:hAnsiTheme="minorEastAsia" w:hint="eastAsia"/>
          <w:sz w:val="24"/>
        </w:rPr>
        <w:lastRenderedPageBreak/>
        <w:t>炭采选过程中这四个方面的排放情况，并考虑煤矿瓦斯抽采利用技术进步率，核算出分年各省煤炭生产温室气体排放系数，其中西南地区排放系数最大，安徽、中南、华南地区次之，东北、华东地区中等，西北地区最小。煤炭运输环节温室气体排放主要源于公路、铁路、水路运输。通过研究各省省内煤炭运输、省际间煤炭调运情况，并考虑到运输方式占比变化情况，核算出运输排放系数。其中西北地区排放系数最大，东北、西南地区次之，华中、华东、东南、华南地区最小。</w:t>
      </w:r>
    </w:p>
    <w:p w14:paraId="2B381FF1" w14:textId="77777777" w:rsidR="008D72A9" w:rsidRPr="004E704F" w:rsidRDefault="005A55BA" w:rsidP="004E704F">
      <w:pPr>
        <w:pStyle w:val="1"/>
        <w:rPr>
          <w:sz w:val="24"/>
        </w:rPr>
      </w:pPr>
      <w:r w:rsidRPr="004E704F">
        <w:rPr>
          <w:rFonts w:hint="eastAsia"/>
          <w:sz w:val="24"/>
        </w:rPr>
        <w:t>2.</w:t>
      </w:r>
      <w:r w:rsidRPr="004E704F">
        <w:rPr>
          <w:rFonts w:hint="eastAsia"/>
          <w:sz w:val="24"/>
        </w:rPr>
        <w:t>情景设置</w:t>
      </w:r>
    </w:p>
    <w:p w14:paraId="232E1AC6" w14:textId="77777777" w:rsidR="00C05226" w:rsidRPr="004E704F" w:rsidRDefault="00014739" w:rsidP="004E704F">
      <w:pPr>
        <w:pStyle w:val="2"/>
        <w:rPr>
          <w:sz w:val="24"/>
        </w:rPr>
      </w:pPr>
      <w:r w:rsidRPr="004E704F">
        <w:rPr>
          <w:rFonts w:hint="eastAsia"/>
          <w:sz w:val="24"/>
        </w:rPr>
        <w:t>2.1</w:t>
      </w:r>
      <w:r w:rsidR="00C05226" w:rsidRPr="004E704F">
        <w:rPr>
          <w:rFonts w:hint="eastAsia"/>
          <w:sz w:val="24"/>
        </w:rPr>
        <w:t>基准情景</w:t>
      </w:r>
    </w:p>
    <w:p w14:paraId="3AC5D693" w14:textId="77777777" w:rsidR="005A55BA" w:rsidRDefault="00C05226" w:rsidP="008D72A9">
      <w:pPr>
        <w:tabs>
          <w:tab w:val="left" w:pos="2292"/>
        </w:tabs>
        <w:spacing w:line="360" w:lineRule="auto"/>
        <w:ind w:firstLineChars="200" w:firstLine="480"/>
        <w:rPr>
          <w:rFonts w:asciiTheme="minorEastAsia" w:hAnsiTheme="minorEastAsia"/>
          <w:sz w:val="24"/>
        </w:rPr>
      </w:pPr>
      <w:r>
        <w:rPr>
          <w:rFonts w:asciiTheme="minorEastAsia" w:hAnsiTheme="minorEastAsia" w:hint="eastAsia"/>
          <w:sz w:val="24"/>
        </w:rPr>
        <w:t>研究就当前煤炭行业发展形势及相关规划政策设置了现行政策情景作为基准</w:t>
      </w:r>
      <w:r w:rsidR="008D72A9">
        <w:rPr>
          <w:rFonts w:asciiTheme="minorEastAsia" w:hAnsiTheme="minorEastAsia" w:hint="eastAsia"/>
          <w:sz w:val="24"/>
        </w:rPr>
        <w:t>情景，该情景</w:t>
      </w:r>
      <w:r w:rsidR="005A55BA" w:rsidRPr="005A55BA">
        <w:rPr>
          <w:rFonts w:asciiTheme="minorEastAsia" w:hAnsiTheme="minorEastAsia" w:hint="eastAsia"/>
          <w:sz w:val="24"/>
        </w:rPr>
        <w:t>根据“国家十三五能源规划”及各省“十三五能源规划”给出2020年各省的煤炭需求预测</w:t>
      </w:r>
      <w:r w:rsidR="008D72A9">
        <w:rPr>
          <w:rFonts w:asciiTheme="minorEastAsia" w:hAnsiTheme="minorEastAsia" w:hint="eastAsia"/>
          <w:sz w:val="24"/>
        </w:rPr>
        <w:t>，</w:t>
      </w:r>
      <w:r w:rsidR="005A55BA">
        <w:rPr>
          <w:rFonts w:asciiTheme="minorEastAsia" w:hAnsiTheme="minorEastAsia" w:hint="eastAsia"/>
          <w:sz w:val="24"/>
        </w:rPr>
        <w:t>根据国家关于煤炭行业政策方针及相应的煤炭中长期规划给出2030年各省煤炭需求预测</w:t>
      </w:r>
      <w:r>
        <w:rPr>
          <w:rFonts w:asciiTheme="minorEastAsia" w:hAnsiTheme="minorEastAsia" w:hint="eastAsia"/>
          <w:sz w:val="24"/>
        </w:rPr>
        <w:t>，依据现有减排技术及减排趋势确定各</w:t>
      </w:r>
      <w:r w:rsidR="00014739">
        <w:rPr>
          <w:rFonts w:asciiTheme="minorEastAsia" w:hAnsiTheme="minorEastAsia" w:hint="eastAsia"/>
          <w:sz w:val="24"/>
        </w:rPr>
        <w:t>地区各</w:t>
      </w:r>
      <w:r>
        <w:rPr>
          <w:rFonts w:asciiTheme="minorEastAsia" w:hAnsiTheme="minorEastAsia" w:hint="eastAsia"/>
          <w:sz w:val="24"/>
        </w:rPr>
        <w:t>环节碳排放强度</w:t>
      </w:r>
      <w:r w:rsidR="00014739">
        <w:rPr>
          <w:rFonts w:asciiTheme="minorEastAsia" w:hAnsiTheme="minorEastAsia" w:hint="eastAsia"/>
          <w:sz w:val="24"/>
        </w:rPr>
        <w:t>，</w:t>
      </w:r>
      <w:r w:rsidR="00A13357">
        <w:rPr>
          <w:rFonts w:asciiTheme="minorEastAsia" w:hAnsiTheme="minorEastAsia" w:hint="eastAsia"/>
          <w:sz w:val="24"/>
        </w:rPr>
        <w:t>再</w:t>
      </w:r>
      <w:r w:rsidR="00014739">
        <w:rPr>
          <w:rFonts w:asciiTheme="minorEastAsia" w:hAnsiTheme="minorEastAsia" w:hint="eastAsia"/>
          <w:sz w:val="24"/>
        </w:rPr>
        <w:t>通过对煤炭供应行业布局优化实现减排。</w:t>
      </w:r>
    </w:p>
    <w:p w14:paraId="52C5AB87" w14:textId="77777777" w:rsidR="00C05226" w:rsidRPr="004E704F" w:rsidRDefault="00014739" w:rsidP="004E704F">
      <w:pPr>
        <w:pStyle w:val="2"/>
        <w:rPr>
          <w:sz w:val="24"/>
        </w:rPr>
      </w:pPr>
      <w:r w:rsidRPr="004E704F">
        <w:rPr>
          <w:rFonts w:hint="eastAsia"/>
          <w:sz w:val="24"/>
        </w:rPr>
        <w:t>2.2</w:t>
      </w:r>
      <w:r w:rsidR="00C05226" w:rsidRPr="004E704F">
        <w:rPr>
          <w:rFonts w:hint="eastAsia"/>
          <w:sz w:val="24"/>
        </w:rPr>
        <w:t>比较情景</w:t>
      </w:r>
    </w:p>
    <w:p w14:paraId="045249FD" w14:textId="77777777" w:rsidR="008D72A9" w:rsidRPr="00AD6D8D" w:rsidRDefault="00921C2F" w:rsidP="008D72A9">
      <w:pPr>
        <w:spacing w:line="360" w:lineRule="auto"/>
        <w:ind w:firstLineChars="200" w:firstLine="480"/>
        <w:rPr>
          <w:rFonts w:asciiTheme="minorEastAsia" w:hAnsiTheme="minorEastAsia"/>
          <w:sz w:val="24"/>
        </w:rPr>
      </w:pPr>
      <w:r>
        <w:rPr>
          <w:rFonts w:asciiTheme="minorEastAsia" w:hAnsiTheme="minorEastAsia" w:hint="eastAsia"/>
          <w:sz w:val="24"/>
        </w:rPr>
        <w:t>研究</w:t>
      </w:r>
      <w:r w:rsidR="008D72A9">
        <w:rPr>
          <w:rFonts w:asciiTheme="minorEastAsia" w:hAnsiTheme="minorEastAsia" w:hint="eastAsia"/>
          <w:sz w:val="24"/>
        </w:rPr>
        <w:t>关</w:t>
      </w:r>
      <w:r w:rsidR="0048082E">
        <w:rPr>
          <w:rFonts w:asciiTheme="minorEastAsia" w:hAnsiTheme="minorEastAsia" w:hint="eastAsia"/>
          <w:sz w:val="24"/>
        </w:rPr>
        <w:t>于是否深度减排、深度减排的路径、深度减排的成本及潜力做</w:t>
      </w:r>
      <w:r w:rsidR="00C05226">
        <w:rPr>
          <w:rFonts w:asciiTheme="minorEastAsia" w:hAnsiTheme="minorEastAsia" w:hint="eastAsia"/>
          <w:sz w:val="24"/>
        </w:rPr>
        <w:t>出讨论，</w:t>
      </w:r>
      <w:r w:rsidR="008D72A9">
        <w:rPr>
          <w:rFonts w:asciiTheme="minorEastAsia" w:hAnsiTheme="minorEastAsia" w:hint="eastAsia"/>
          <w:sz w:val="24"/>
        </w:rPr>
        <w:t>设置了</w:t>
      </w:r>
      <w:r w:rsidR="00C05226">
        <w:rPr>
          <w:rFonts w:asciiTheme="minorEastAsia" w:hAnsiTheme="minorEastAsia" w:hint="eastAsia"/>
          <w:sz w:val="24"/>
        </w:rPr>
        <w:t>低碳情景作为比较情景，</w:t>
      </w:r>
      <w:r w:rsidR="008B0476">
        <w:rPr>
          <w:rFonts w:asciiTheme="minorEastAsia" w:hAnsiTheme="minorEastAsia" w:hint="eastAsia"/>
          <w:sz w:val="24"/>
        </w:rPr>
        <w:t>该情景是</w:t>
      </w:r>
      <w:r w:rsidR="008D72A9">
        <w:rPr>
          <w:rFonts w:asciiTheme="minorEastAsia" w:hAnsiTheme="minorEastAsia" w:hint="eastAsia"/>
          <w:sz w:val="24"/>
        </w:rPr>
        <w:t>在经济增长、人口与城镇化、产业结构、能效、技术等方面达到一定水平的前提下</w:t>
      </w:r>
      <w:r w:rsidR="008B0476">
        <w:rPr>
          <w:rFonts w:asciiTheme="minorEastAsia" w:hAnsiTheme="minorEastAsia" w:hint="eastAsia"/>
          <w:sz w:val="24"/>
        </w:rPr>
        <w:t>的一种低碳情景，是本研究</w:t>
      </w:r>
      <w:r w:rsidR="008D72A9">
        <w:rPr>
          <w:rFonts w:asciiTheme="minorEastAsia" w:hAnsiTheme="minorEastAsia" w:hint="eastAsia"/>
          <w:sz w:val="24"/>
        </w:rPr>
        <w:t>期待的未来情景</w:t>
      </w:r>
      <w:r w:rsidR="008B0476">
        <w:rPr>
          <w:rFonts w:asciiTheme="minorEastAsia" w:hAnsiTheme="minorEastAsia" w:hint="eastAsia"/>
          <w:sz w:val="24"/>
        </w:rPr>
        <w:t>。①</w:t>
      </w:r>
      <w:r w:rsidR="00CF56FF">
        <w:rPr>
          <w:rFonts w:asciiTheme="minorEastAsia" w:hAnsiTheme="minorEastAsia" w:hint="eastAsia"/>
          <w:sz w:val="24"/>
        </w:rPr>
        <w:t xml:space="preserve"> </w:t>
      </w:r>
      <w:r w:rsidR="008B0476" w:rsidRPr="008B0476">
        <w:rPr>
          <w:rFonts w:asciiTheme="minorEastAsia" w:hAnsiTheme="minorEastAsia" w:hint="eastAsia"/>
          <w:sz w:val="24"/>
        </w:rPr>
        <w:t>中国未来的能源结构优化不再是一种主导能源（如煤炭）被另一种主导能源取代，而是由一种主导能源（如以煤炭为主）的结构进入煤炭、石油与天然气、非化石能源相平衡、多种能源并存的结构</w:t>
      </w:r>
      <w:r w:rsidR="008B0476">
        <w:rPr>
          <w:rFonts w:asciiTheme="minorEastAsia" w:hAnsiTheme="minorEastAsia" w:hint="eastAsia"/>
          <w:sz w:val="24"/>
        </w:rPr>
        <w:t>。②</w:t>
      </w:r>
      <w:r w:rsidR="00C5739B">
        <w:rPr>
          <w:rFonts w:asciiTheme="minorEastAsia" w:hAnsiTheme="minorEastAsia" w:hint="eastAsia"/>
          <w:sz w:val="24"/>
        </w:rPr>
        <w:t xml:space="preserve"> </w:t>
      </w:r>
      <w:r w:rsidR="008B0476" w:rsidRPr="008B0476">
        <w:rPr>
          <w:rFonts w:asciiTheme="minorEastAsia" w:hAnsiTheme="minorEastAsia" w:hint="eastAsia"/>
          <w:sz w:val="24"/>
        </w:rPr>
        <w:t>2020年前是中国经济转型和加速改革发展的重要转折期</w:t>
      </w:r>
      <w:r w:rsidR="008B0476">
        <w:rPr>
          <w:rFonts w:asciiTheme="minorEastAsia" w:hAnsiTheme="minorEastAsia" w:hint="eastAsia"/>
          <w:sz w:val="24"/>
        </w:rPr>
        <w:t>，在这一时期，国内生产总值</w:t>
      </w:r>
      <w:r w:rsidR="008B0476" w:rsidRPr="008B0476">
        <w:rPr>
          <w:rFonts w:asciiTheme="minorEastAsia" w:hAnsiTheme="minorEastAsia" w:hint="eastAsia"/>
          <w:sz w:val="24"/>
        </w:rPr>
        <w:t>（GDP）增长速度减缓至6%</w:t>
      </w:r>
      <w:r w:rsidR="00BB0261">
        <w:rPr>
          <w:rFonts w:asciiTheme="minorEastAsia" w:hAnsiTheme="minorEastAsia" w:hint="eastAsia"/>
          <w:sz w:val="24"/>
        </w:rPr>
        <w:t>—</w:t>
      </w:r>
      <w:r w:rsidR="008B0476" w:rsidRPr="008B0476">
        <w:rPr>
          <w:rFonts w:asciiTheme="minorEastAsia" w:hAnsiTheme="minorEastAsia" w:hint="eastAsia"/>
          <w:sz w:val="24"/>
        </w:rPr>
        <w:t>7%，同时追求可持续和高质量的发展和绿色</w:t>
      </w:r>
      <w:r w:rsidR="008B0476">
        <w:rPr>
          <w:rFonts w:asciiTheme="minorEastAsia" w:hAnsiTheme="minorEastAsia" w:hint="eastAsia"/>
          <w:sz w:val="24"/>
        </w:rPr>
        <w:t>增长更为突出。中央和地方的能源政策重点在于调整现有能源消费结构，</w:t>
      </w:r>
      <w:r w:rsidR="008B0476" w:rsidRPr="008B0476">
        <w:rPr>
          <w:rFonts w:asciiTheme="minorEastAsia" w:hAnsiTheme="minorEastAsia" w:hint="eastAsia"/>
          <w:sz w:val="24"/>
        </w:rPr>
        <w:t>控制煤炭增长速度，减少煤炭消费占比，到2020年和2030</w:t>
      </w:r>
      <w:r w:rsidR="008B0476">
        <w:rPr>
          <w:rFonts w:asciiTheme="minorEastAsia" w:hAnsiTheme="minorEastAsia" w:hint="eastAsia"/>
          <w:sz w:val="24"/>
        </w:rPr>
        <w:t>年，使</w:t>
      </w:r>
      <w:r w:rsidR="008B0476" w:rsidRPr="008B0476">
        <w:rPr>
          <w:rFonts w:asciiTheme="minorEastAsia" w:hAnsiTheme="minorEastAsia" w:hint="eastAsia"/>
          <w:sz w:val="24"/>
        </w:rPr>
        <w:t>煤炭消费比例下降至60%以下和50%左右成为可能，为其他能源的发展留出合理空间，推动天然气、核电、和可再生能源的发</w:t>
      </w:r>
      <w:r w:rsidR="008B0476" w:rsidRPr="008B0476">
        <w:rPr>
          <w:rFonts w:asciiTheme="minorEastAsia" w:hAnsiTheme="minorEastAsia" w:hint="eastAsia"/>
          <w:sz w:val="24"/>
        </w:rPr>
        <w:lastRenderedPageBreak/>
        <w:t>展。</w:t>
      </w:r>
      <w:r w:rsidR="008B0476">
        <w:rPr>
          <w:rFonts w:asciiTheme="minorEastAsia" w:hAnsiTheme="minorEastAsia" w:hint="eastAsia"/>
          <w:sz w:val="24"/>
        </w:rPr>
        <w:t>③</w:t>
      </w:r>
      <w:r w:rsidR="006109C6">
        <w:rPr>
          <w:rFonts w:asciiTheme="minorEastAsia" w:hAnsiTheme="minorEastAsia" w:hint="eastAsia"/>
          <w:sz w:val="24"/>
        </w:rPr>
        <w:t xml:space="preserve"> </w:t>
      </w:r>
      <w:r w:rsidR="008B0476" w:rsidRPr="008B0476">
        <w:rPr>
          <w:rFonts w:asciiTheme="minorEastAsia" w:hAnsiTheme="minorEastAsia" w:hint="eastAsia"/>
          <w:sz w:val="24"/>
        </w:rPr>
        <w:t>在2020年前后，在推进新型工业化、城镇化、信息化和农业现代化（“新四化”）的过程中，找到能源清洁高效利用的革命性的解决方案，走出一条节能、降耗、减排和绿色的发展道路</w:t>
      </w:r>
      <w:r w:rsidR="008D72A9">
        <w:rPr>
          <w:rFonts w:asciiTheme="minorEastAsia" w:hAnsiTheme="minorEastAsia" w:hint="eastAsia"/>
          <w:sz w:val="24"/>
        </w:rPr>
        <w:t>。</w:t>
      </w:r>
      <w:r w:rsidR="008D72A9" w:rsidRPr="00AD6D8D">
        <w:rPr>
          <w:rFonts w:asciiTheme="minorEastAsia" w:hAnsiTheme="minorEastAsia" w:hint="eastAsia"/>
          <w:sz w:val="24"/>
        </w:rPr>
        <w:t>要实现</w:t>
      </w:r>
      <w:r w:rsidR="008B0476">
        <w:rPr>
          <w:rFonts w:asciiTheme="minorEastAsia" w:hAnsiTheme="minorEastAsia" w:hint="eastAsia"/>
          <w:sz w:val="24"/>
        </w:rPr>
        <w:t>生态能源新战略</w:t>
      </w:r>
      <w:r w:rsidR="008D72A9" w:rsidRPr="00AD6D8D">
        <w:rPr>
          <w:rFonts w:asciiTheme="minorEastAsia" w:hAnsiTheme="minorEastAsia" w:hint="eastAsia"/>
          <w:sz w:val="24"/>
        </w:rPr>
        <w:t>情景，必须政府政策的引导、科技进步的推动、有效的市场竞争机制、能源管理创新和国际合作等多方面的综合协调与配合。政策的引导是指政府通过综合、系统和明确的政策，鼓励和引导国有企业和民营企业加大在生态能源领域和低碳经济领域的投资与开发；科技进步和市场的作用是指政府和企业共同推动能源开发和利用技术进步，促进能源清洁利用技术的应用。</w:t>
      </w:r>
    </w:p>
    <w:p w14:paraId="63ED309F" w14:textId="77777777" w:rsidR="002D24D9" w:rsidRPr="004E704F" w:rsidRDefault="002D24D9" w:rsidP="004E704F">
      <w:pPr>
        <w:pStyle w:val="1"/>
        <w:rPr>
          <w:sz w:val="28"/>
        </w:rPr>
      </w:pPr>
      <w:r w:rsidRPr="004E704F">
        <w:rPr>
          <w:rFonts w:hint="eastAsia"/>
          <w:sz w:val="28"/>
        </w:rPr>
        <w:t>3.</w:t>
      </w:r>
      <w:r w:rsidR="00014739" w:rsidRPr="004E704F">
        <w:rPr>
          <w:rFonts w:hint="eastAsia"/>
          <w:sz w:val="28"/>
        </w:rPr>
        <w:t>结论</w:t>
      </w:r>
    </w:p>
    <w:p w14:paraId="1D6F2911" w14:textId="77777777" w:rsidR="00014739" w:rsidRDefault="00014739" w:rsidP="002D24D9">
      <w:pPr>
        <w:spacing w:line="360" w:lineRule="auto"/>
        <w:rPr>
          <w:rFonts w:asciiTheme="minorEastAsia" w:hAnsiTheme="minorEastAsia"/>
          <w:sz w:val="24"/>
        </w:rPr>
      </w:pPr>
      <w:r>
        <w:rPr>
          <w:rFonts w:asciiTheme="minorEastAsia" w:hAnsiTheme="minorEastAsia" w:hint="eastAsia"/>
          <w:sz w:val="24"/>
        </w:rPr>
        <w:t xml:space="preserve">    </w:t>
      </w:r>
      <w:r w:rsidR="00785C12">
        <w:rPr>
          <w:rFonts w:asciiTheme="minorEastAsia" w:hAnsiTheme="minorEastAsia" w:hint="eastAsia"/>
          <w:sz w:val="24"/>
        </w:rPr>
        <w:t>煤炭供应行业减排主要通过</w:t>
      </w:r>
      <w:r>
        <w:rPr>
          <w:rFonts w:asciiTheme="minorEastAsia" w:hAnsiTheme="minorEastAsia" w:hint="eastAsia"/>
          <w:sz w:val="24"/>
        </w:rPr>
        <w:t>两个途径</w:t>
      </w:r>
      <w:r w:rsidR="00785C12">
        <w:rPr>
          <w:rFonts w:asciiTheme="minorEastAsia" w:hAnsiTheme="minorEastAsia" w:hint="eastAsia"/>
          <w:sz w:val="24"/>
        </w:rPr>
        <w:t>来实现</w:t>
      </w:r>
      <w:r>
        <w:rPr>
          <w:rFonts w:asciiTheme="minorEastAsia" w:hAnsiTheme="minorEastAsia" w:hint="eastAsia"/>
          <w:sz w:val="24"/>
        </w:rPr>
        <w:t>，一是通过产、运布局优化，二是通过各环节技术</w:t>
      </w:r>
      <w:r w:rsidR="005730DF">
        <w:rPr>
          <w:rFonts w:asciiTheme="minorEastAsia" w:hAnsiTheme="minorEastAsia" w:hint="eastAsia"/>
          <w:sz w:val="24"/>
        </w:rPr>
        <w:t>路径</w:t>
      </w:r>
      <w:r w:rsidR="00921C2F">
        <w:rPr>
          <w:rFonts w:asciiTheme="minorEastAsia" w:hAnsiTheme="minorEastAsia" w:hint="eastAsia"/>
          <w:sz w:val="24"/>
        </w:rPr>
        <w:t>选择。</w:t>
      </w:r>
      <w:r w:rsidR="006954F5">
        <w:rPr>
          <w:rFonts w:asciiTheme="minorEastAsia" w:hAnsiTheme="minorEastAsia" w:hint="eastAsia"/>
          <w:sz w:val="24"/>
        </w:rPr>
        <w:t>基准情景下的减排措施主要是布局优化、煤矿瓦斯抽采利用技术的选择、铁路电气化改造；比较情景下的减排措施主要包括布局优化、深度煤矿瓦斯抽采利用技术的选择、铁路电气化改造、公路运输柴油机改造。</w:t>
      </w:r>
    </w:p>
    <w:p w14:paraId="4C873AD4" w14:textId="77777777" w:rsidR="00AD6D8D" w:rsidRPr="004E704F" w:rsidRDefault="00014739" w:rsidP="004E704F">
      <w:pPr>
        <w:pStyle w:val="2"/>
        <w:rPr>
          <w:sz w:val="24"/>
        </w:rPr>
      </w:pPr>
      <w:r w:rsidRPr="004E704F">
        <w:rPr>
          <w:rFonts w:hint="eastAsia"/>
          <w:sz w:val="24"/>
        </w:rPr>
        <w:t>3.1</w:t>
      </w:r>
      <w:r w:rsidR="00381665" w:rsidRPr="004E704F">
        <w:rPr>
          <w:rFonts w:hint="eastAsia"/>
          <w:sz w:val="24"/>
        </w:rPr>
        <w:t>基准</w:t>
      </w:r>
      <w:r w:rsidRPr="004E704F">
        <w:rPr>
          <w:rFonts w:hint="eastAsia"/>
          <w:sz w:val="24"/>
        </w:rPr>
        <w:t>情景</w:t>
      </w:r>
    </w:p>
    <w:p w14:paraId="7AE8C60E" w14:textId="77777777" w:rsidR="00014739" w:rsidRPr="004E704F" w:rsidRDefault="00014739" w:rsidP="004E704F">
      <w:pPr>
        <w:pStyle w:val="3"/>
        <w:rPr>
          <w:sz w:val="24"/>
        </w:rPr>
      </w:pPr>
      <w:r w:rsidRPr="004E704F">
        <w:rPr>
          <w:rFonts w:hint="eastAsia"/>
          <w:sz w:val="24"/>
        </w:rPr>
        <w:t>3.1.1</w:t>
      </w:r>
      <w:r w:rsidRPr="004E704F">
        <w:rPr>
          <w:rFonts w:hint="eastAsia"/>
          <w:sz w:val="24"/>
        </w:rPr>
        <w:t>布局优化</w:t>
      </w:r>
    </w:p>
    <w:p w14:paraId="4F030EA1" w14:textId="77777777" w:rsidR="002D24D9" w:rsidRDefault="00014739" w:rsidP="00FB41DC">
      <w:pPr>
        <w:spacing w:line="360" w:lineRule="auto"/>
        <w:ind w:firstLineChars="200" w:firstLine="480"/>
        <w:rPr>
          <w:rFonts w:asciiTheme="minorEastAsia" w:hAnsiTheme="minorEastAsia"/>
          <w:sz w:val="24"/>
        </w:rPr>
      </w:pPr>
      <w:r>
        <w:rPr>
          <w:rFonts w:asciiTheme="minorEastAsia" w:hAnsiTheme="minorEastAsia" w:hint="eastAsia"/>
          <w:sz w:val="24"/>
        </w:rPr>
        <w:t>优化</w:t>
      </w:r>
      <w:r w:rsidR="00FB41DC">
        <w:rPr>
          <w:rFonts w:asciiTheme="minorEastAsia" w:hAnsiTheme="minorEastAsia" w:hint="eastAsia"/>
          <w:sz w:val="24"/>
        </w:rPr>
        <w:t>结果显示，</w:t>
      </w:r>
      <w:r w:rsidR="00CA397D" w:rsidRPr="00CA397D">
        <w:rPr>
          <w:rFonts w:asciiTheme="minorEastAsia" w:hAnsiTheme="minorEastAsia" w:hint="eastAsia"/>
          <w:sz w:val="24"/>
        </w:rPr>
        <w:t>全国煤炭</w:t>
      </w:r>
      <w:r w:rsidR="00FB41DC">
        <w:rPr>
          <w:rFonts w:asciiTheme="minorEastAsia" w:hAnsiTheme="minorEastAsia" w:hint="eastAsia"/>
          <w:sz w:val="24"/>
        </w:rPr>
        <w:t>生产</w:t>
      </w:r>
      <w:r w:rsidR="00CA397D" w:rsidRPr="00CA397D">
        <w:rPr>
          <w:rFonts w:asciiTheme="minorEastAsia" w:hAnsiTheme="minorEastAsia" w:hint="eastAsia"/>
          <w:sz w:val="24"/>
        </w:rPr>
        <w:t>峰值是在2013年，2013年全国煤炭</w:t>
      </w:r>
      <w:r w:rsidR="00FB41DC">
        <w:rPr>
          <w:rFonts w:asciiTheme="minorEastAsia" w:hAnsiTheme="minorEastAsia" w:hint="eastAsia"/>
          <w:sz w:val="24"/>
        </w:rPr>
        <w:t>产量</w:t>
      </w:r>
      <w:r w:rsidR="00CA397D" w:rsidRPr="00CA397D">
        <w:rPr>
          <w:rFonts w:asciiTheme="minorEastAsia" w:hAnsiTheme="minorEastAsia" w:hint="eastAsia"/>
          <w:sz w:val="24"/>
        </w:rPr>
        <w:t>397432.2万吨，进口32702万吨。2013年之后，由于需求侧世界经济低迷，煤炭市场不景气，供给侧政府监管力度加大，去产能、去库存等一系列政策的实施，各省区的煤炭开采都受到一定的冲击影响，煤炭开采量有所下降，到2016年达到一个低点，之后煤炭市场开始反弹，到2020年再次达到一个高点，2020年之后，由于新能源发展，煤炭利用技术进步等因素，煤炭需求量逐渐下降，从而煤炭供给量减少。“十三五”规划中指出，煤炭消费重心将逐渐西移，煤炭开采逐渐集中化于“三西”地区</w:t>
      </w:r>
      <w:r w:rsidR="00FB41DC">
        <w:rPr>
          <w:rFonts w:asciiTheme="minorEastAsia" w:hAnsiTheme="minorEastAsia" w:hint="eastAsia"/>
          <w:sz w:val="24"/>
        </w:rPr>
        <w:t>，</w:t>
      </w:r>
      <w:r w:rsidR="00CA397D" w:rsidRPr="00CA397D">
        <w:rPr>
          <w:rFonts w:asciiTheme="minorEastAsia" w:hAnsiTheme="minorEastAsia" w:hint="eastAsia"/>
          <w:sz w:val="24"/>
        </w:rPr>
        <w:t>从2017年至2020年期间，全国煤炭开采量呈上升趋势，上升量主要由</w:t>
      </w:r>
      <w:r w:rsidR="00921C2F">
        <w:rPr>
          <w:rFonts w:asciiTheme="minorEastAsia" w:hAnsiTheme="minorEastAsia" w:hint="eastAsia"/>
          <w:sz w:val="24"/>
        </w:rPr>
        <w:t>晋蒙、西北地区</w:t>
      </w:r>
      <w:r w:rsidR="00CA397D" w:rsidRPr="00CA397D">
        <w:rPr>
          <w:rFonts w:asciiTheme="minorEastAsia" w:hAnsiTheme="minorEastAsia" w:hint="eastAsia"/>
          <w:sz w:val="24"/>
        </w:rPr>
        <w:t>的煤炭</w:t>
      </w:r>
      <w:r w:rsidR="00921C2F">
        <w:rPr>
          <w:rFonts w:asciiTheme="minorEastAsia" w:hAnsiTheme="minorEastAsia" w:hint="eastAsia"/>
          <w:sz w:val="24"/>
        </w:rPr>
        <w:t>生产</w:t>
      </w:r>
      <w:r w:rsidR="00CA397D" w:rsidRPr="00CA397D">
        <w:rPr>
          <w:rFonts w:asciiTheme="minorEastAsia" w:hAnsiTheme="minorEastAsia" w:hint="eastAsia"/>
          <w:sz w:val="24"/>
        </w:rPr>
        <w:t>增量提供，其他省区煤炭</w:t>
      </w:r>
      <w:r w:rsidR="00921C2F">
        <w:rPr>
          <w:rFonts w:asciiTheme="minorEastAsia" w:hAnsiTheme="minorEastAsia" w:hint="eastAsia"/>
          <w:sz w:val="24"/>
        </w:rPr>
        <w:t>生产</w:t>
      </w:r>
      <w:r w:rsidR="00CA397D" w:rsidRPr="00CA397D">
        <w:rPr>
          <w:rFonts w:asciiTheme="minorEastAsia" w:hAnsiTheme="minorEastAsia" w:hint="eastAsia"/>
          <w:sz w:val="24"/>
        </w:rPr>
        <w:t>量反而有所下降。2020 年之后，由于政策及新能源发展技术等方面的因素，煤炭生</w:t>
      </w:r>
      <w:r w:rsidR="00CA397D" w:rsidRPr="00CA397D">
        <w:rPr>
          <w:rFonts w:asciiTheme="minorEastAsia" w:hAnsiTheme="minorEastAsia" w:hint="eastAsia"/>
          <w:sz w:val="24"/>
        </w:rPr>
        <w:lastRenderedPageBreak/>
        <w:t>产量呈下降趋势</w:t>
      </w:r>
      <w:r w:rsidR="00921C2F">
        <w:rPr>
          <w:rFonts w:asciiTheme="minorEastAsia" w:hAnsiTheme="minorEastAsia" w:hint="eastAsia"/>
          <w:sz w:val="24"/>
        </w:rPr>
        <w:t>，下降量主要由东部、南部等地区煤炭开采减少甚至退出生产所导致，晋蒙、西北地区</w:t>
      </w:r>
      <w:r w:rsidR="00CA397D" w:rsidRPr="00CA397D">
        <w:rPr>
          <w:rFonts w:asciiTheme="minorEastAsia" w:hAnsiTheme="minorEastAsia" w:hint="eastAsia"/>
          <w:sz w:val="24"/>
        </w:rPr>
        <w:t>的煤炭产量反而保持绝对增加的趋势，这主要是因为煤炭消费重心西移。</w:t>
      </w:r>
      <w:r w:rsidR="00921C2F">
        <w:rPr>
          <w:rFonts w:asciiTheme="minorEastAsia" w:hAnsiTheme="minorEastAsia" w:hint="eastAsia"/>
          <w:sz w:val="24"/>
        </w:rPr>
        <w:t>晋蒙、西北地区</w:t>
      </w:r>
      <w:r w:rsidR="00CA397D" w:rsidRPr="00CA397D">
        <w:rPr>
          <w:rFonts w:asciiTheme="minorEastAsia" w:hAnsiTheme="minorEastAsia" w:hint="eastAsia"/>
          <w:sz w:val="24"/>
        </w:rPr>
        <w:t>煤炭开采量呈绝对增长趋势，占全国煤炭生产量比例亦呈增长趋势，</w:t>
      </w:r>
      <w:r w:rsidR="00921C2F">
        <w:rPr>
          <w:rFonts w:asciiTheme="minorEastAsia" w:hAnsiTheme="minorEastAsia" w:hint="eastAsia"/>
          <w:sz w:val="24"/>
        </w:rPr>
        <w:t>从</w:t>
      </w:r>
      <w:r w:rsidR="00CA397D" w:rsidRPr="00CA397D">
        <w:rPr>
          <w:rFonts w:asciiTheme="minorEastAsia" w:hAnsiTheme="minorEastAsia" w:hint="eastAsia"/>
          <w:sz w:val="24"/>
        </w:rPr>
        <w:t>2013年煤炭生产量占全国煤炭生产量69%，</w:t>
      </w:r>
      <w:r w:rsidR="00921C2F">
        <w:rPr>
          <w:rFonts w:asciiTheme="minorEastAsia" w:hAnsiTheme="minorEastAsia" w:hint="eastAsia"/>
          <w:sz w:val="24"/>
        </w:rPr>
        <w:t>到</w:t>
      </w:r>
      <w:r w:rsidR="00CA397D" w:rsidRPr="00CA397D">
        <w:rPr>
          <w:rFonts w:asciiTheme="minorEastAsia" w:hAnsiTheme="minorEastAsia" w:hint="eastAsia"/>
          <w:sz w:val="24"/>
        </w:rPr>
        <w:t>2020年占比将达到74%，2025年占比将达到86%，2030年占比将达到88%。</w:t>
      </w:r>
      <w:r w:rsidR="00FB41DC" w:rsidRPr="00FB41DC">
        <w:rPr>
          <w:rFonts w:asciiTheme="minorEastAsia" w:hAnsiTheme="minorEastAsia" w:hint="eastAsia"/>
          <w:sz w:val="24"/>
        </w:rPr>
        <w:t>相应配套的煤炭调运亦</w:t>
      </w:r>
      <w:r w:rsidR="00762E47">
        <w:rPr>
          <w:rFonts w:asciiTheme="minorEastAsia" w:hAnsiTheme="minorEastAsia" w:hint="eastAsia"/>
          <w:sz w:val="24"/>
        </w:rPr>
        <w:t>做</w:t>
      </w:r>
      <w:r w:rsidR="00FB41DC" w:rsidRPr="00FB41DC">
        <w:rPr>
          <w:rFonts w:asciiTheme="minorEastAsia" w:hAnsiTheme="minorEastAsia" w:hint="eastAsia"/>
          <w:sz w:val="24"/>
        </w:rPr>
        <w:t>出调整以满足各省煤炭需求，“十三五”期间，煤炭生产逐渐集中于晋蒙、西北地区，华东、华中、华南、东北地区煤炭生产下降，所以这些地区所需煤炭将大多数来源于晋蒙、西北地区；但另一方面由于煤炭消费重心也在逐渐西移，这些地区煤炭需求量将有所下降，对省际间煤炭调运量的增加起到了一定的抵消作用，因此“十三五”期间，省际间煤炭运输有一定的增加，“三西”煤炭外运量有所上涨。2020年之后，华中、东部、南部地区逐步退出煤炭生产，华北、东北地区煤炭生产大幅下降，因此“三西”煤炭外运剧增；同时新疆成为重要的大型煤炭生产区域，大量优质疆煤通过甘肃运往川渝及陕西进而输送到“两湖一江”等地。2025年之后，随着非化石能源技术的发展以及煤炭消费重心西移等因素的影响，华东、华南、华北、东北等地煤炭需求不断下降，相应地省际间煤炭调运开始呈下降趋势，但晋蒙、西北地区煤炭外运量仍保持较高水平。</w:t>
      </w:r>
    </w:p>
    <w:p w14:paraId="435526F5" w14:textId="77777777" w:rsidR="00014739" w:rsidRPr="004E704F" w:rsidRDefault="00014739" w:rsidP="004E704F">
      <w:pPr>
        <w:pStyle w:val="3"/>
        <w:rPr>
          <w:sz w:val="24"/>
        </w:rPr>
      </w:pPr>
      <w:r w:rsidRPr="004E704F">
        <w:rPr>
          <w:rFonts w:hint="eastAsia"/>
          <w:sz w:val="24"/>
        </w:rPr>
        <w:t>3.1.2</w:t>
      </w:r>
      <w:r w:rsidRPr="004E704F">
        <w:rPr>
          <w:rFonts w:hint="eastAsia"/>
          <w:sz w:val="24"/>
        </w:rPr>
        <w:t>技术</w:t>
      </w:r>
      <w:r w:rsidR="005730DF" w:rsidRPr="004E704F">
        <w:rPr>
          <w:rFonts w:hint="eastAsia"/>
          <w:sz w:val="24"/>
        </w:rPr>
        <w:t>路径</w:t>
      </w:r>
    </w:p>
    <w:p w14:paraId="34C45122" w14:textId="77777777" w:rsidR="00014739" w:rsidRDefault="00014739" w:rsidP="00014739">
      <w:pPr>
        <w:spacing w:line="360" w:lineRule="auto"/>
        <w:ind w:firstLineChars="200" w:firstLine="480"/>
        <w:rPr>
          <w:rFonts w:asciiTheme="minorEastAsia" w:hAnsiTheme="minorEastAsia"/>
          <w:sz w:val="24"/>
        </w:rPr>
      </w:pPr>
      <w:r>
        <w:rPr>
          <w:rFonts w:asciiTheme="minorEastAsia" w:hAnsiTheme="minorEastAsia" w:hint="eastAsia"/>
          <w:sz w:val="24"/>
        </w:rPr>
        <w:t>基准情景下的减排措施主要是指煤炭开采时对煤矿瓦斯的抽采利用，煤矿瓦斯是造成煤矿事故的主要原因，而</w:t>
      </w:r>
      <w:r w:rsidRPr="00F42FF5">
        <w:rPr>
          <w:rFonts w:asciiTheme="minorEastAsia" w:hAnsiTheme="minorEastAsia" w:hint="eastAsia"/>
          <w:sz w:val="24"/>
        </w:rPr>
        <w:t>瓦斯</w:t>
      </w:r>
      <w:r>
        <w:rPr>
          <w:rFonts w:asciiTheme="minorEastAsia" w:hAnsiTheme="minorEastAsia" w:hint="eastAsia"/>
          <w:sz w:val="24"/>
        </w:rPr>
        <w:t>又</w:t>
      </w:r>
      <w:r w:rsidRPr="00F42FF5">
        <w:rPr>
          <w:rFonts w:asciiTheme="minorEastAsia" w:hAnsiTheme="minorEastAsia" w:hint="eastAsia"/>
          <w:sz w:val="24"/>
        </w:rPr>
        <w:t>属非常规天然气，有一定的利用价</w:t>
      </w:r>
      <w:r>
        <w:rPr>
          <w:rFonts w:asciiTheme="minorEastAsia" w:hAnsiTheme="minorEastAsia" w:hint="eastAsia"/>
          <w:sz w:val="24"/>
        </w:rPr>
        <w:t>值，因此在许多</w:t>
      </w:r>
      <w:r w:rsidR="00C22C57">
        <w:rPr>
          <w:rFonts w:asciiTheme="minorEastAsia" w:hAnsiTheme="minorEastAsia" w:hint="eastAsia"/>
          <w:sz w:val="24"/>
        </w:rPr>
        <w:t>矿</w:t>
      </w:r>
      <w:r>
        <w:rPr>
          <w:rFonts w:asciiTheme="minorEastAsia" w:hAnsiTheme="minorEastAsia" w:hint="eastAsia"/>
          <w:sz w:val="24"/>
        </w:rPr>
        <w:t>井尤其是瓦斯含量较高的</w:t>
      </w:r>
      <w:r w:rsidR="00C22C57">
        <w:rPr>
          <w:rFonts w:asciiTheme="minorEastAsia" w:hAnsiTheme="minorEastAsia" w:hint="eastAsia"/>
          <w:sz w:val="24"/>
        </w:rPr>
        <w:t>矿</w:t>
      </w:r>
      <w:r>
        <w:rPr>
          <w:rFonts w:asciiTheme="minorEastAsia" w:hAnsiTheme="minorEastAsia" w:hint="eastAsia"/>
          <w:sz w:val="24"/>
        </w:rPr>
        <w:t>井皆有瓦斯抽采回收设备，该技术减排成本为负，可实现正收益，2020年减排潜力3578万吨当量CO</w:t>
      </w:r>
      <w:r w:rsidRPr="00813707">
        <w:rPr>
          <w:rFonts w:asciiTheme="minorEastAsia" w:hAnsiTheme="minorEastAsia" w:hint="eastAsia"/>
          <w:sz w:val="24"/>
          <w:vertAlign w:val="subscript"/>
        </w:rPr>
        <w:t>2</w:t>
      </w:r>
      <w:r>
        <w:rPr>
          <w:rFonts w:asciiTheme="minorEastAsia" w:hAnsiTheme="minorEastAsia" w:hint="eastAsia"/>
          <w:sz w:val="24"/>
        </w:rPr>
        <w:t>，2030年减排潜力14000万吨当量CO</w:t>
      </w:r>
      <w:r w:rsidRPr="00813707">
        <w:rPr>
          <w:rFonts w:asciiTheme="minorEastAsia" w:hAnsiTheme="minorEastAsia" w:hint="eastAsia"/>
          <w:sz w:val="24"/>
          <w:vertAlign w:val="subscript"/>
        </w:rPr>
        <w:t>2</w:t>
      </w:r>
      <w:r>
        <w:rPr>
          <w:rFonts w:asciiTheme="minorEastAsia" w:hAnsiTheme="minorEastAsia" w:hint="eastAsia"/>
          <w:sz w:val="24"/>
        </w:rPr>
        <w:t>。</w:t>
      </w:r>
    </w:p>
    <w:p w14:paraId="6A694DCE" w14:textId="77777777" w:rsidR="00014739" w:rsidRPr="004E704F" w:rsidRDefault="00014739" w:rsidP="004E704F">
      <w:pPr>
        <w:pStyle w:val="3"/>
        <w:rPr>
          <w:sz w:val="24"/>
        </w:rPr>
      </w:pPr>
      <w:r w:rsidRPr="004E704F">
        <w:rPr>
          <w:rFonts w:hint="eastAsia"/>
          <w:sz w:val="24"/>
        </w:rPr>
        <w:t>3.1.3</w:t>
      </w:r>
      <w:r w:rsidR="00F8286E" w:rsidRPr="004E704F">
        <w:rPr>
          <w:rFonts w:hint="eastAsia"/>
          <w:sz w:val="24"/>
        </w:rPr>
        <w:t>碳排放</w:t>
      </w:r>
    </w:p>
    <w:p w14:paraId="64DACA79" w14:textId="77777777" w:rsidR="00014739" w:rsidRDefault="00014739" w:rsidP="005730DF">
      <w:pPr>
        <w:spacing w:line="360" w:lineRule="auto"/>
        <w:ind w:firstLine="480"/>
        <w:rPr>
          <w:sz w:val="24"/>
        </w:rPr>
      </w:pPr>
      <w:r w:rsidRPr="00C8293E">
        <w:rPr>
          <w:rFonts w:asciiTheme="minorEastAsia" w:hAnsiTheme="minorEastAsia" w:hint="eastAsia"/>
          <w:sz w:val="24"/>
        </w:rPr>
        <w:t>利用各省区煤炭</w:t>
      </w:r>
      <w:r>
        <w:rPr>
          <w:rFonts w:asciiTheme="minorEastAsia" w:hAnsiTheme="minorEastAsia" w:hint="eastAsia"/>
          <w:sz w:val="24"/>
        </w:rPr>
        <w:t>优化产</w:t>
      </w:r>
      <w:r w:rsidRPr="00C8293E">
        <w:rPr>
          <w:rFonts w:asciiTheme="minorEastAsia" w:hAnsiTheme="minorEastAsia" w:hint="eastAsia"/>
          <w:sz w:val="24"/>
        </w:rPr>
        <w:t>量数据</w:t>
      </w:r>
      <w:r w:rsidR="00921C2F">
        <w:rPr>
          <w:rFonts w:asciiTheme="minorEastAsia" w:hAnsiTheme="minorEastAsia" w:hint="eastAsia"/>
          <w:sz w:val="24"/>
        </w:rPr>
        <w:t>（数据源于布局优化结果）</w:t>
      </w:r>
      <w:r w:rsidRPr="00C8293E">
        <w:rPr>
          <w:rFonts w:asciiTheme="minorEastAsia" w:hAnsiTheme="minorEastAsia" w:hint="eastAsia"/>
          <w:sz w:val="24"/>
        </w:rPr>
        <w:t>以及各省采选环节温室气体排放系数，核算</w:t>
      </w:r>
      <w:r>
        <w:rPr>
          <w:rFonts w:asciiTheme="minorEastAsia" w:hAnsiTheme="minorEastAsia" w:hint="eastAsia"/>
          <w:sz w:val="24"/>
        </w:rPr>
        <w:t>出</w:t>
      </w:r>
      <w:r w:rsidRPr="00C8293E">
        <w:rPr>
          <w:rFonts w:asciiTheme="minorEastAsia" w:hAnsiTheme="minorEastAsia" w:hint="eastAsia"/>
          <w:sz w:val="24"/>
        </w:rPr>
        <w:t>各省区煤炭采选环节</w:t>
      </w:r>
      <w:r>
        <w:rPr>
          <w:rFonts w:asciiTheme="minorEastAsia" w:hAnsiTheme="minorEastAsia" w:hint="eastAsia"/>
          <w:sz w:val="24"/>
        </w:rPr>
        <w:t>温室气体排放</w:t>
      </w:r>
      <w:r w:rsidR="005730DF">
        <w:rPr>
          <w:rFonts w:asciiTheme="minorEastAsia" w:hAnsiTheme="minorEastAsia" w:hint="eastAsia"/>
          <w:sz w:val="24"/>
        </w:rPr>
        <w:t>量并</w:t>
      </w:r>
      <w:r>
        <w:rPr>
          <w:rFonts w:asciiTheme="minorEastAsia" w:hAnsiTheme="minorEastAsia" w:hint="eastAsia"/>
          <w:sz w:val="24"/>
        </w:rPr>
        <w:t>加总得到全国煤炭生产排放</w:t>
      </w:r>
      <w:r w:rsidR="004C0D81">
        <w:rPr>
          <w:rFonts w:asciiTheme="minorEastAsia" w:hAnsiTheme="minorEastAsia" w:hint="eastAsia"/>
          <w:sz w:val="24"/>
        </w:rPr>
        <w:t>如图1（其中黑色表示生产环节直接排放，黄色表示间接排放）</w:t>
      </w:r>
      <w:r>
        <w:rPr>
          <w:rFonts w:asciiTheme="minorEastAsia" w:hAnsiTheme="minorEastAsia" w:hint="eastAsia"/>
          <w:sz w:val="24"/>
        </w:rPr>
        <w:t>，</w:t>
      </w:r>
      <w:r>
        <w:rPr>
          <w:rFonts w:hint="eastAsia"/>
          <w:sz w:val="24"/>
        </w:rPr>
        <w:t>利用各省、各路线煤炭优化运输数据（数据来源于</w:t>
      </w:r>
      <w:r w:rsidR="00921C2F">
        <w:rPr>
          <w:rFonts w:hint="eastAsia"/>
          <w:sz w:val="24"/>
        </w:rPr>
        <w:t>布局</w:t>
      </w:r>
      <w:r>
        <w:rPr>
          <w:rFonts w:hint="eastAsia"/>
          <w:sz w:val="24"/>
        </w:rPr>
        <w:t>优化结果）以及相应的碳</w:t>
      </w:r>
      <w:r>
        <w:rPr>
          <w:rFonts w:hint="eastAsia"/>
          <w:sz w:val="24"/>
        </w:rPr>
        <w:lastRenderedPageBreak/>
        <w:t>排放系数，核算出各省、各路线碳排放量并加总得全国煤炭运输环节碳排放量</w:t>
      </w:r>
      <w:r w:rsidR="004C0D81">
        <w:rPr>
          <w:rFonts w:hint="eastAsia"/>
          <w:sz w:val="24"/>
        </w:rPr>
        <w:t>如图</w:t>
      </w:r>
      <w:r w:rsidR="004C0D81">
        <w:rPr>
          <w:rFonts w:hint="eastAsia"/>
          <w:sz w:val="24"/>
        </w:rPr>
        <w:t>2</w:t>
      </w:r>
      <w:r w:rsidR="00C519C3">
        <w:rPr>
          <w:rFonts w:hint="eastAsia"/>
          <w:sz w:val="24"/>
        </w:rPr>
        <w:t>（其中红色表示运输环节直接排放，蓝色表示运输环节间接排放）</w:t>
      </w:r>
      <w:r w:rsidR="005730DF">
        <w:rPr>
          <w:rFonts w:hint="eastAsia"/>
          <w:sz w:val="24"/>
        </w:rPr>
        <w:t>，最终</w:t>
      </w:r>
      <w:r>
        <w:rPr>
          <w:rFonts w:hint="eastAsia"/>
          <w:sz w:val="24"/>
        </w:rPr>
        <w:t>将煤炭生产排放与运输排放加总得煤炭供应行业排放如图</w:t>
      </w:r>
      <w:r w:rsidR="004C0D81">
        <w:rPr>
          <w:rFonts w:hint="eastAsia"/>
          <w:sz w:val="24"/>
        </w:rPr>
        <w:t>3</w:t>
      </w:r>
      <w:r>
        <w:rPr>
          <w:rFonts w:hint="eastAsia"/>
          <w:sz w:val="24"/>
        </w:rPr>
        <w:t>（其中</w:t>
      </w:r>
      <w:r w:rsidR="005730DF">
        <w:rPr>
          <w:rFonts w:hint="eastAsia"/>
          <w:sz w:val="24"/>
        </w:rPr>
        <w:t>黑</w:t>
      </w:r>
      <w:r>
        <w:rPr>
          <w:rFonts w:hint="eastAsia"/>
          <w:sz w:val="24"/>
        </w:rPr>
        <w:t>色表示煤炭生产</w:t>
      </w:r>
      <w:r w:rsidR="005730DF">
        <w:rPr>
          <w:rFonts w:hint="eastAsia"/>
          <w:sz w:val="24"/>
        </w:rPr>
        <w:t>过程中直接排放</w:t>
      </w:r>
      <w:r>
        <w:rPr>
          <w:rFonts w:hint="eastAsia"/>
          <w:sz w:val="24"/>
        </w:rPr>
        <w:t>、</w:t>
      </w:r>
      <w:r w:rsidR="005730DF">
        <w:rPr>
          <w:rFonts w:hint="eastAsia"/>
          <w:sz w:val="24"/>
        </w:rPr>
        <w:t>红色表示煤炭</w:t>
      </w:r>
      <w:r>
        <w:rPr>
          <w:rFonts w:hint="eastAsia"/>
          <w:sz w:val="24"/>
        </w:rPr>
        <w:t>运输过程中</w:t>
      </w:r>
      <w:r w:rsidR="005730DF">
        <w:rPr>
          <w:rFonts w:hint="eastAsia"/>
          <w:sz w:val="24"/>
        </w:rPr>
        <w:t>直接排放，黄色表示煤炭生产过程中间接排放，蓝色表示煤炭运输过程中</w:t>
      </w:r>
      <w:r w:rsidR="00B07F08">
        <w:rPr>
          <w:rFonts w:hint="eastAsia"/>
          <w:sz w:val="24"/>
        </w:rPr>
        <w:t>的</w:t>
      </w:r>
      <w:r w:rsidR="005730DF">
        <w:rPr>
          <w:rFonts w:hint="eastAsia"/>
          <w:sz w:val="24"/>
        </w:rPr>
        <w:t>间接排放</w:t>
      </w:r>
      <w:r w:rsidR="002320B0">
        <w:rPr>
          <w:rFonts w:hint="eastAsia"/>
          <w:sz w:val="24"/>
        </w:rPr>
        <w:t>）。</w:t>
      </w:r>
    </w:p>
    <w:p w14:paraId="389680B7" w14:textId="77777777" w:rsidR="004C0D81" w:rsidRDefault="004C0D81" w:rsidP="004C0D81">
      <w:pPr>
        <w:keepNext/>
        <w:spacing w:line="360" w:lineRule="auto"/>
      </w:pPr>
      <w:r w:rsidRPr="004C0D81">
        <w:rPr>
          <w:noProof/>
          <w:sz w:val="24"/>
        </w:rPr>
        <w:drawing>
          <wp:inline distT="0" distB="0" distL="0" distR="0" wp14:anchorId="67D4B841" wp14:editId="66AD89E6">
            <wp:extent cx="5272578" cy="3318164"/>
            <wp:effectExtent l="19050" t="0" r="23322"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D4B085" w14:textId="77777777" w:rsidR="004C0D81" w:rsidRPr="00B65BEE" w:rsidRDefault="004C0D81" w:rsidP="00B65BEE">
      <w:pPr>
        <w:pStyle w:val="ab"/>
        <w:jc w:val="center"/>
      </w:pPr>
      <w:r>
        <w:rPr>
          <w:rFonts w:hint="eastAsia"/>
        </w:rPr>
        <w:t>图</w:t>
      </w:r>
      <w:r>
        <w:rPr>
          <w:rFonts w:hint="eastAsia"/>
        </w:rPr>
        <w:t xml:space="preserve">1  </w:t>
      </w:r>
      <w:r>
        <w:rPr>
          <w:rFonts w:hint="eastAsia"/>
        </w:rPr>
        <w:t>基准情景下生产环节温室气体排放（万吨</w:t>
      </w:r>
      <w:r>
        <w:rPr>
          <w:rFonts w:hint="eastAsia"/>
        </w:rPr>
        <w:t>CO</w:t>
      </w:r>
      <w:r w:rsidRPr="00B05DDF">
        <w:rPr>
          <w:rFonts w:hint="eastAsia"/>
          <w:vertAlign w:val="subscript"/>
        </w:rPr>
        <w:t>2</w:t>
      </w:r>
      <w:r w:rsidR="00DF4D9A">
        <w:rPr>
          <w:rFonts w:hint="eastAsia"/>
        </w:rPr>
        <w:t>当量</w:t>
      </w:r>
      <w:r>
        <w:rPr>
          <w:rFonts w:hint="eastAsia"/>
        </w:rPr>
        <w:t>）</w:t>
      </w:r>
    </w:p>
    <w:p w14:paraId="7A848F17" w14:textId="77777777" w:rsidR="005C1045" w:rsidRDefault="005C1045" w:rsidP="00F12526">
      <w:pPr>
        <w:spacing w:line="360" w:lineRule="auto"/>
        <w:rPr>
          <w:sz w:val="24"/>
        </w:rPr>
      </w:pPr>
    </w:p>
    <w:p w14:paraId="4A726F13" w14:textId="77777777" w:rsidR="004C0D81" w:rsidRDefault="00B65BEE" w:rsidP="00F11C5B">
      <w:pPr>
        <w:spacing w:line="360" w:lineRule="auto"/>
        <w:ind w:firstLineChars="200" w:firstLine="480"/>
        <w:rPr>
          <w:sz w:val="24"/>
        </w:rPr>
      </w:pPr>
      <w:r>
        <w:rPr>
          <w:rFonts w:hint="eastAsia"/>
          <w:sz w:val="24"/>
        </w:rPr>
        <w:t>生产环节温室气体排放量与煤炭生产量正相关，也取决于碳排放系数</w:t>
      </w:r>
      <w:r w:rsidR="00F12526">
        <w:rPr>
          <w:rFonts w:hint="eastAsia"/>
          <w:sz w:val="24"/>
        </w:rPr>
        <w:t>，</w:t>
      </w:r>
      <w:r>
        <w:rPr>
          <w:rFonts w:hint="eastAsia"/>
          <w:sz w:val="24"/>
        </w:rPr>
        <w:t>基准情景下煤炭</w:t>
      </w:r>
      <w:r w:rsidR="00C519C3">
        <w:rPr>
          <w:rFonts w:hint="eastAsia"/>
          <w:sz w:val="24"/>
        </w:rPr>
        <w:t>生产环节的</w:t>
      </w:r>
      <w:r>
        <w:rPr>
          <w:rFonts w:hint="eastAsia"/>
          <w:sz w:val="24"/>
        </w:rPr>
        <w:t>减排主要</w:t>
      </w:r>
      <w:r w:rsidR="00C519C3">
        <w:rPr>
          <w:rFonts w:hint="eastAsia"/>
          <w:sz w:val="24"/>
        </w:rPr>
        <w:t>是</w:t>
      </w:r>
      <w:r>
        <w:rPr>
          <w:rFonts w:hint="eastAsia"/>
          <w:sz w:val="24"/>
        </w:rPr>
        <w:t>通过生产</w:t>
      </w:r>
      <w:r w:rsidR="00F12526">
        <w:rPr>
          <w:rFonts w:hint="eastAsia"/>
          <w:sz w:val="24"/>
        </w:rPr>
        <w:t>布局和煤矿瓦斯抽采利用技术。煤炭生产峰值年</w:t>
      </w:r>
      <w:r w:rsidR="00F12526">
        <w:rPr>
          <w:rFonts w:hint="eastAsia"/>
          <w:sz w:val="24"/>
        </w:rPr>
        <w:t>2013</w:t>
      </w:r>
      <w:r w:rsidR="00F12526">
        <w:rPr>
          <w:rFonts w:hint="eastAsia"/>
          <w:sz w:val="24"/>
        </w:rPr>
        <w:t>年后，煤炭开发呈短期下降趋势，直到</w:t>
      </w:r>
      <w:r w:rsidR="00F12526">
        <w:rPr>
          <w:rFonts w:hint="eastAsia"/>
          <w:sz w:val="24"/>
        </w:rPr>
        <w:t>2016</w:t>
      </w:r>
      <w:r w:rsidR="00F12526">
        <w:rPr>
          <w:rFonts w:hint="eastAsia"/>
          <w:sz w:val="24"/>
        </w:rPr>
        <w:t>年达到一个低点，之后煤炭行业开始反弹，到</w:t>
      </w:r>
      <w:r w:rsidR="00F12526">
        <w:rPr>
          <w:rFonts w:hint="eastAsia"/>
          <w:sz w:val="24"/>
        </w:rPr>
        <w:t>2020</w:t>
      </w:r>
      <w:r w:rsidR="00F12526">
        <w:rPr>
          <w:rFonts w:hint="eastAsia"/>
          <w:sz w:val="24"/>
        </w:rPr>
        <w:t>年再次达到一个峰点。</w:t>
      </w:r>
      <w:r w:rsidR="00F12526">
        <w:rPr>
          <w:rFonts w:hint="eastAsia"/>
          <w:sz w:val="24"/>
        </w:rPr>
        <w:t>2017</w:t>
      </w:r>
      <w:r w:rsidR="007A7EAF">
        <w:rPr>
          <w:rFonts w:hint="eastAsia"/>
          <w:sz w:val="24"/>
        </w:rPr>
        <w:t>年—</w:t>
      </w:r>
      <w:r w:rsidR="00F12526">
        <w:rPr>
          <w:rFonts w:hint="eastAsia"/>
          <w:sz w:val="24"/>
        </w:rPr>
        <w:t>2020</w:t>
      </w:r>
      <w:r w:rsidR="00F12526">
        <w:rPr>
          <w:rFonts w:hint="eastAsia"/>
          <w:sz w:val="24"/>
        </w:rPr>
        <w:t>年煤炭生产虽呈上升趋势，而排放却保持平稳甚至下降，这主要是由于通过煤炭生产布局优化及技术路径选择达到减排目的，</w:t>
      </w:r>
      <w:r w:rsidR="00F12526" w:rsidRPr="00F12526">
        <w:rPr>
          <w:rFonts w:hint="eastAsia"/>
          <w:sz w:val="24"/>
        </w:rPr>
        <w:t>从</w:t>
      </w:r>
      <w:r w:rsidR="00F12526" w:rsidRPr="00F12526">
        <w:rPr>
          <w:rFonts w:hint="eastAsia"/>
          <w:sz w:val="24"/>
        </w:rPr>
        <w:t>2017</w:t>
      </w:r>
      <w:r w:rsidR="00F12526" w:rsidRPr="00F12526">
        <w:rPr>
          <w:rFonts w:hint="eastAsia"/>
          <w:sz w:val="24"/>
        </w:rPr>
        <w:t>年至</w:t>
      </w:r>
      <w:r w:rsidR="00F12526" w:rsidRPr="00F12526">
        <w:rPr>
          <w:rFonts w:hint="eastAsia"/>
          <w:sz w:val="24"/>
        </w:rPr>
        <w:t>2020</w:t>
      </w:r>
      <w:r w:rsidR="00F12526" w:rsidRPr="00F12526">
        <w:rPr>
          <w:rFonts w:hint="eastAsia"/>
          <w:sz w:val="24"/>
        </w:rPr>
        <w:t>年期间，全国煤炭开采上升量主要由晋蒙、西北地区的煤炭生产增量提供，其他省区煤炭生产量反而有所下降，由于内蒙、陕西、新疆等煤炭生产大省多为低瓦斯矿，且开发投入设备较先进，而其他地区尤其是西南、华南、中南等地区煤矿瓦斯排放系数较大，且开发时间早设备较落后，另一方面煤矿瓦斯抽采利用技术的发展使瓦斯逃逸排放系数下降，</w:t>
      </w:r>
      <w:r w:rsidR="00F12526">
        <w:rPr>
          <w:rFonts w:hint="eastAsia"/>
          <w:sz w:val="24"/>
        </w:rPr>
        <w:t>因此总体排放系数下降。</w:t>
      </w:r>
      <w:r w:rsidR="00C519C3">
        <w:rPr>
          <w:rFonts w:hint="eastAsia"/>
          <w:sz w:val="24"/>
        </w:rPr>
        <w:t>2020</w:t>
      </w:r>
      <w:r w:rsidR="00C519C3">
        <w:rPr>
          <w:rFonts w:hint="eastAsia"/>
          <w:sz w:val="24"/>
        </w:rPr>
        <w:t>年之后煤炭行业受到压缩，总体煤炭需</w:t>
      </w:r>
      <w:r w:rsidR="00C519C3">
        <w:rPr>
          <w:rFonts w:hint="eastAsia"/>
          <w:sz w:val="24"/>
        </w:rPr>
        <w:lastRenderedPageBreak/>
        <w:t>求下降，又由于煤矿瓦斯抽用技术不断发展，因此煤炭生产环节温室气体排放呈现快速下降趋势。</w:t>
      </w:r>
    </w:p>
    <w:p w14:paraId="231C0BBD" w14:textId="77777777" w:rsidR="00C519C3" w:rsidRDefault="00BC7F0E" w:rsidP="00C519C3">
      <w:pPr>
        <w:keepNext/>
        <w:spacing w:line="360" w:lineRule="auto"/>
      </w:pPr>
      <w:r w:rsidRPr="00BC7F0E">
        <w:rPr>
          <w:noProof/>
        </w:rPr>
        <w:drawing>
          <wp:inline distT="0" distB="0" distL="0" distR="0" wp14:anchorId="2A903929" wp14:editId="79EDB65A">
            <wp:extent cx="5238750" cy="3449781"/>
            <wp:effectExtent l="19050" t="0" r="1905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5FB115A" w14:textId="77777777" w:rsidR="00C519C3" w:rsidRDefault="00C519C3" w:rsidP="00C519C3">
      <w:pPr>
        <w:pStyle w:val="ab"/>
        <w:jc w:val="center"/>
      </w:pPr>
      <w:r>
        <w:rPr>
          <w:rFonts w:hint="eastAsia"/>
        </w:rPr>
        <w:t>图</w:t>
      </w:r>
      <w:r>
        <w:rPr>
          <w:rFonts w:hint="eastAsia"/>
        </w:rPr>
        <w:t xml:space="preserve">2  </w:t>
      </w:r>
      <w:r>
        <w:rPr>
          <w:rFonts w:hint="eastAsia"/>
        </w:rPr>
        <w:t>基准情景下运输环节温室气体排放（万吨</w:t>
      </w:r>
      <w:r>
        <w:rPr>
          <w:rFonts w:hint="eastAsia"/>
        </w:rPr>
        <w:t>CO</w:t>
      </w:r>
      <w:r w:rsidRPr="0037268C">
        <w:rPr>
          <w:rFonts w:hint="eastAsia"/>
          <w:vertAlign w:val="subscript"/>
        </w:rPr>
        <w:t>2</w:t>
      </w:r>
      <w:r w:rsidR="00DF4D9A">
        <w:rPr>
          <w:rFonts w:hint="eastAsia"/>
        </w:rPr>
        <w:t>当量</w:t>
      </w:r>
      <w:r>
        <w:rPr>
          <w:rFonts w:hint="eastAsia"/>
        </w:rPr>
        <w:t>）</w:t>
      </w:r>
    </w:p>
    <w:p w14:paraId="0BD56C4F" w14:textId="77777777" w:rsidR="0037268C" w:rsidRDefault="0037268C" w:rsidP="00C519C3">
      <w:pPr>
        <w:spacing w:line="360" w:lineRule="auto"/>
        <w:rPr>
          <w:sz w:val="24"/>
        </w:rPr>
      </w:pPr>
    </w:p>
    <w:p w14:paraId="15A8D889" w14:textId="77777777" w:rsidR="00BC7F0E" w:rsidRDefault="00C519C3" w:rsidP="003F5B09">
      <w:pPr>
        <w:spacing w:line="360" w:lineRule="auto"/>
        <w:ind w:firstLineChars="200" w:firstLine="480"/>
        <w:rPr>
          <w:sz w:val="24"/>
        </w:rPr>
      </w:pPr>
      <w:r>
        <w:rPr>
          <w:rFonts w:hint="eastAsia"/>
          <w:sz w:val="24"/>
        </w:rPr>
        <w:t>基准情景下煤炭运输环节温室气体排放量主要取决于煤炭运输量，煤炭生产、消费峰值出现在</w:t>
      </w:r>
      <w:r>
        <w:rPr>
          <w:rFonts w:hint="eastAsia"/>
          <w:sz w:val="24"/>
        </w:rPr>
        <w:t>2013</w:t>
      </w:r>
      <w:r>
        <w:rPr>
          <w:rFonts w:hint="eastAsia"/>
          <w:sz w:val="24"/>
        </w:rPr>
        <w:t>年，因此煤炭运输环节排放亦在</w:t>
      </w:r>
      <w:r>
        <w:rPr>
          <w:rFonts w:hint="eastAsia"/>
          <w:sz w:val="24"/>
        </w:rPr>
        <w:t>2013</w:t>
      </w:r>
      <w:r>
        <w:rPr>
          <w:rFonts w:hint="eastAsia"/>
          <w:sz w:val="24"/>
        </w:rPr>
        <w:t>年达峰，</w:t>
      </w:r>
      <w:r>
        <w:rPr>
          <w:rFonts w:hint="eastAsia"/>
          <w:sz w:val="24"/>
        </w:rPr>
        <w:t>2013</w:t>
      </w:r>
      <w:r>
        <w:rPr>
          <w:rFonts w:hint="eastAsia"/>
          <w:sz w:val="24"/>
        </w:rPr>
        <w:t>年之后由于需求端煤炭需求减少导致煤炭运输业下降，直到</w:t>
      </w:r>
      <w:r>
        <w:rPr>
          <w:rFonts w:hint="eastAsia"/>
          <w:sz w:val="24"/>
        </w:rPr>
        <w:t>2016</w:t>
      </w:r>
      <w:r>
        <w:rPr>
          <w:rFonts w:hint="eastAsia"/>
          <w:sz w:val="24"/>
        </w:rPr>
        <w:t>年达到一个低点，</w:t>
      </w:r>
      <w:r>
        <w:rPr>
          <w:rFonts w:hint="eastAsia"/>
          <w:sz w:val="24"/>
        </w:rPr>
        <w:t>2017</w:t>
      </w:r>
      <w:r>
        <w:rPr>
          <w:rFonts w:hint="eastAsia"/>
          <w:sz w:val="24"/>
        </w:rPr>
        <w:t>年开始反弹到</w:t>
      </w:r>
      <w:r>
        <w:rPr>
          <w:rFonts w:hint="eastAsia"/>
          <w:sz w:val="24"/>
        </w:rPr>
        <w:t>2020</w:t>
      </w:r>
      <w:r>
        <w:rPr>
          <w:rFonts w:hint="eastAsia"/>
          <w:sz w:val="24"/>
        </w:rPr>
        <w:t>年再次达到一个峰点，这主要是由于</w:t>
      </w:r>
      <w:r>
        <w:rPr>
          <w:rFonts w:hint="eastAsia"/>
          <w:sz w:val="24"/>
        </w:rPr>
        <w:t>2016</w:t>
      </w:r>
      <w:r>
        <w:rPr>
          <w:rFonts w:hint="eastAsia"/>
          <w:sz w:val="24"/>
        </w:rPr>
        <w:t>之后煤炭开发格局的变化导致煤炭生产趋于集中化，集中于晋蒙、西北等地区，而其他地区煤炭行业受到压缩甚至退出生产，所以这些地区所需煤炭大多源于晋蒙、西北地区，因此煤炭运输量</w:t>
      </w:r>
      <w:r>
        <w:rPr>
          <w:rFonts w:hint="eastAsia"/>
          <w:sz w:val="24"/>
        </w:rPr>
        <w:t>2016</w:t>
      </w:r>
      <w:r>
        <w:rPr>
          <w:rFonts w:hint="eastAsia"/>
          <w:sz w:val="24"/>
        </w:rPr>
        <w:t>年之后呈上升趋势</w:t>
      </w:r>
      <w:r w:rsidR="009E36DE">
        <w:rPr>
          <w:rFonts w:hint="eastAsia"/>
          <w:sz w:val="24"/>
        </w:rPr>
        <w:t>，从而煤炭运输产生的碳排放呈上升趋势</w:t>
      </w:r>
      <w:r>
        <w:rPr>
          <w:rFonts w:hint="eastAsia"/>
          <w:sz w:val="24"/>
        </w:rPr>
        <w:t>；</w:t>
      </w:r>
      <w:r>
        <w:rPr>
          <w:rFonts w:hint="eastAsia"/>
          <w:sz w:val="24"/>
        </w:rPr>
        <w:t>2020</w:t>
      </w:r>
      <w:r>
        <w:rPr>
          <w:rFonts w:hint="eastAsia"/>
          <w:sz w:val="24"/>
        </w:rPr>
        <w:t>年之后全行业煤炭需求压缩，煤炭运输量亦下降但仍保持较高水平</w:t>
      </w:r>
      <w:r w:rsidR="009E36DE">
        <w:rPr>
          <w:rFonts w:hint="eastAsia"/>
          <w:sz w:val="24"/>
        </w:rPr>
        <w:t>，相应的运输</w:t>
      </w:r>
      <w:r w:rsidR="00BC7F0E">
        <w:rPr>
          <w:rFonts w:hint="eastAsia"/>
          <w:sz w:val="24"/>
        </w:rPr>
        <w:t>总</w:t>
      </w:r>
      <w:r w:rsidR="009E36DE">
        <w:rPr>
          <w:rFonts w:hint="eastAsia"/>
          <w:sz w:val="24"/>
        </w:rPr>
        <w:t>排放呈下降</w:t>
      </w:r>
      <w:r w:rsidR="00BC7F0E">
        <w:rPr>
          <w:rFonts w:hint="eastAsia"/>
          <w:sz w:val="24"/>
        </w:rPr>
        <w:t>，且</w:t>
      </w:r>
      <w:r w:rsidR="009E36DE">
        <w:rPr>
          <w:rFonts w:hint="eastAsia"/>
          <w:sz w:val="24"/>
        </w:rPr>
        <w:t>在这期间由于铁路电气化不断改造升级，</w:t>
      </w:r>
      <w:r w:rsidR="00BC7F0E">
        <w:rPr>
          <w:rFonts w:hint="eastAsia"/>
          <w:sz w:val="24"/>
        </w:rPr>
        <w:t>因此直接排放不断呈下降趋势，间接排放呈上升趋势。</w:t>
      </w:r>
    </w:p>
    <w:p w14:paraId="0987BE57" w14:textId="77777777" w:rsidR="00014739" w:rsidRDefault="00BC7F0E" w:rsidP="00014739">
      <w:pPr>
        <w:keepNext/>
        <w:spacing w:line="360" w:lineRule="auto"/>
      </w:pPr>
      <w:r w:rsidRPr="00BC7F0E">
        <w:rPr>
          <w:noProof/>
        </w:rPr>
        <w:lastRenderedPageBreak/>
        <w:drawing>
          <wp:inline distT="0" distB="0" distL="0" distR="0" wp14:anchorId="2F79A072" wp14:editId="680CF1BB">
            <wp:extent cx="5272578" cy="3449782"/>
            <wp:effectExtent l="19050" t="0" r="23322" b="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79DB66B" w14:textId="77777777" w:rsidR="00014739" w:rsidRPr="00214EDC" w:rsidRDefault="00014739" w:rsidP="00014739">
      <w:pPr>
        <w:pStyle w:val="ab"/>
        <w:jc w:val="center"/>
        <w:rPr>
          <w:sz w:val="24"/>
        </w:rPr>
      </w:pPr>
      <w:r>
        <w:rPr>
          <w:rFonts w:hint="eastAsia"/>
        </w:rPr>
        <w:t>图</w:t>
      </w:r>
      <w:r w:rsidR="00C519C3">
        <w:rPr>
          <w:rFonts w:hint="eastAsia"/>
        </w:rPr>
        <w:t>3</w:t>
      </w:r>
      <w:r>
        <w:rPr>
          <w:rFonts w:hint="eastAsia"/>
        </w:rPr>
        <w:t xml:space="preserve">  </w:t>
      </w:r>
      <w:r>
        <w:rPr>
          <w:rFonts w:hint="eastAsia"/>
        </w:rPr>
        <w:t>基准情景下煤炭供应行业温室气体排放（万吨</w:t>
      </w:r>
      <w:r>
        <w:rPr>
          <w:rFonts w:hint="eastAsia"/>
        </w:rPr>
        <w:t>CO</w:t>
      </w:r>
      <w:r w:rsidRPr="004D68BE">
        <w:rPr>
          <w:rFonts w:hint="eastAsia"/>
          <w:vertAlign w:val="subscript"/>
        </w:rPr>
        <w:t>2</w:t>
      </w:r>
      <w:r w:rsidR="00DF4D9A">
        <w:rPr>
          <w:rFonts w:hint="eastAsia"/>
        </w:rPr>
        <w:t>当量</w:t>
      </w:r>
      <w:r>
        <w:rPr>
          <w:rFonts w:hint="eastAsia"/>
        </w:rPr>
        <w:t>）</w:t>
      </w:r>
    </w:p>
    <w:p w14:paraId="386C0428" w14:textId="77777777" w:rsidR="004D68BE" w:rsidRDefault="004D68BE" w:rsidP="005730DF">
      <w:pPr>
        <w:spacing w:line="360" w:lineRule="auto"/>
        <w:ind w:firstLine="480"/>
        <w:rPr>
          <w:rFonts w:asciiTheme="minorEastAsia" w:hAnsiTheme="minorEastAsia"/>
          <w:sz w:val="24"/>
        </w:rPr>
      </w:pPr>
    </w:p>
    <w:p w14:paraId="22E851D8" w14:textId="77777777" w:rsidR="00014739" w:rsidRPr="00014739" w:rsidRDefault="00E66E79" w:rsidP="005730DF">
      <w:pPr>
        <w:spacing w:line="360" w:lineRule="auto"/>
        <w:ind w:firstLine="480"/>
        <w:rPr>
          <w:rFonts w:asciiTheme="minorEastAsia" w:hAnsiTheme="minorEastAsia"/>
          <w:sz w:val="24"/>
        </w:rPr>
      </w:pPr>
      <w:r>
        <w:rPr>
          <w:rFonts w:asciiTheme="minorEastAsia" w:hAnsiTheme="minorEastAsia" w:hint="eastAsia"/>
          <w:sz w:val="24"/>
        </w:rPr>
        <w:t>由排放结果</w:t>
      </w:r>
      <w:r w:rsidR="005730DF">
        <w:rPr>
          <w:rFonts w:asciiTheme="minorEastAsia" w:hAnsiTheme="minorEastAsia" w:hint="eastAsia"/>
          <w:sz w:val="24"/>
        </w:rPr>
        <w:t>图</w:t>
      </w:r>
      <w:r w:rsidR="00C519C3">
        <w:rPr>
          <w:rFonts w:asciiTheme="minorEastAsia" w:hAnsiTheme="minorEastAsia" w:hint="eastAsia"/>
          <w:sz w:val="24"/>
        </w:rPr>
        <w:t>3</w:t>
      </w:r>
      <w:r>
        <w:rPr>
          <w:rFonts w:asciiTheme="minorEastAsia" w:hAnsiTheme="minorEastAsia" w:hint="eastAsia"/>
          <w:sz w:val="24"/>
        </w:rPr>
        <w:t>可知，煤炭供应行业碳排放于2013年达峰，</w:t>
      </w:r>
      <w:r w:rsidR="005730DF">
        <w:rPr>
          <w:rFonts w:hint="eastAsia"/>
          <w:sz w:val="24"/>
        </w:rPr>
        <w:t>峰值约为</w:t>
      </w:r>
      <w:r w:rsidR="005730DF">
        <w:rPr>
          <w:rFonts w:hint="eastAsia"/>
          <w:sz w:val="24"/>
        </w:rPr>
        <w:t>7.9</w:t>
      </w:r>
      <w:r w:rsidR="005730DF">
        <w:rPr>
          <w:rFonts w:hint="eastAsia"/>
          <w:sz w:val="24"/>
        </w:rPr>
        <w:t>亿吨</w:t>
      </w:r>
      <w:r w:rsidR="005730DF">
        <w:rPr>
          <w:rFonts w:hint="eastAsia"/>
          <w:sz w:val="24"/>
        </w:rPr>
        <w:t>CO</w:t>
      </w:r>
      <w:r w:rsidR="005730DF" w:rsidRPr="0094578E">
        <w:rPr>
          <w:rFonts w:hint="eastAsia"/>
          <w:sz w:val="24"/>
          <w:vertAlign w:val="subscript"/>
        </w:rPr>
        <w:t>2</w:t>
      </w:r>
      <w:r w:rsidR="00DF4D9A">
        <w:rPr>
          <w:rFonts w:hint="eastAsia"/>
          <w:sz w:val="24"/>
        </w:rPr>
        <w:t>当量</w:t>
      </w:r>
      <w:r w:rsidR="005730DF">
        <w:rPr>
          <w:rFonts w:hint="eastAsia"/>
          <w:sz w:val="24"/>
        </w:rPr>
        <w:t>，其中</w:t>
      </w:r>
      <w:r w:rsidR="004C0D81">
        <w:rPr>
          <w:rFonts w:hint="eastAsia"/>
          <w:sz w:val="24"/>
        </w:rPr>
        <w:t>生产环节</w:t>
      </w:r>
      <w:r w:rsidR="005730DF">
        <w:rPr>
          <w:rFonts w:hint="eastAsia"/>
          <w:sz w:val="24"/>
        </w:rPr>
        <w:t>直接排放</w:t>
      </w:r>
      <w:r w:rsidR="004C0D81">
        <w:rPr>
          <w:rFonts w:hint="eastAsia"/>
          <w:sz w:val="24"/>
        </w:rPr>
        <w:t>5.67</w:t>
      </w:r>
      <w:r w:rsidR="005730DF">
        <w:rPr>
          <w:rFonts w:hint="eastAsia"/>
          <w:sz w:val="24"/>
        </w:rPr>
        <w:t>亿吨</w:t>
      </w:r>
      <w:r w:rsidR="004C0D81">
        <w:rPr>
          <w:rFonts w:hint="eastAsia"/>
          <w:sz w:val="24"/>
        </w:rPr>
        <w:t>CO</w:t>
      </w:r>
      <w:r w:rsidR="004C0D81" w:rsidRPr="0094578E">
        <w:rPr>
          <w:rFonts w:hint="eastAsia"/>
          <w:sz w:val="24"/>
          <w:vertAlign w:val="subscript"/>
        </w:rPr>
        <w:t>2</w:t>
      </w:r>
      <w:r w:rsidR="00DF4D9A">
        <w:rPr>
          <w:rFonts w:hint="eastAsia"/>
          <w:sz w:val="24"/>
        </w:rPr>
        <w:t>当量</w:t>
      </w:r>
      <w:r w:rsidR="005730DF">
        <w:rPr>
          <w:rFonts w:hint="eastAsia"/>
          <w:sz w:val="24"/>
        </w:rPr>
        <w:t>左右，</w:t>
      </w:r>
      <w:r w:rsidR="004C0D81">
        <w:rPr>
          <w:rFonts w:hint="eastAsia"/>
          <w:sz w:val="24"/>
        </w:rPr>
        <w:t>生产环节</w:t>
      </w:r>
      <w:r w:rsidR="005730DF">
        <w:rPr>
          <w:rFonts w:hint="eastAsia"/>
          <w:sz w:val="24"/>
        </w:rPr>
        <w:t>间接排放</w:t>
      </w:r>
      <w:r w:rsidR="004C0D81">
        <w:rPr>
          <w:rFonts w:hint="eastAsia"/>
          <w:sz w:val="24"/>
        </w:rPr>
        <w:t>0.95</w:t>
      </w:r>
      <w:r w:rsidR="005730DF">
        <w:rPr>
          <w:rFonts w:hint="eastAsia"/>
          <w:sz w:val="24"/>
        </w:rPr>
        <w:t>亿吨</w:t>
      </w:r>
      <w:r w:rsidR="004C0D81">
        <w:rPr>
          <w:rFonts w:hint="eastAsia"/>
          <w:sz w:val="24"/>
        </w:rPr>
        <w:t>CO</w:t>
      </w:r>
      <w:r w:rsidR="004C0D81" w:rsidRPr="0094578E">
        <w:rPr>
          <w:rFonts w:hint="eastAsia"/>
          <w:sz w:val="24"/>
          <w:vertAlign w:val="subscript"/>
        </w:rPr>
        <w:t>2</w:t>
      </w:r>
      <w:r w:rsidR="00DF4D9A">
        <w:rPr>
          <w:rFonts w:hint="eastAsia"/>
          <w:sz w:val="24"/>
        </w:rPr>
        <w:t>当量</w:t>
      </w:r>
      <w:r w:rsidR="005730DF">
        <w:rPr>
          <w:rFonts w:hint="eastAsia"/>
          <w:sz w:val="24"/>
        </w:rPr>
        <w:t>左右</w:t>
      </w:r>
      <w:r w:rsidR="004C0D81">
        <w:rPr>
          <w:rFonts w:hint="eastAsia"/>
          <w:sz w:val="24"/>
        </w:rPr>
        <w:t>，运输环节直接排放</w:t>
      </w:r>
      <w:r w:rsidR="004C0D81">
        <w:rPr>
          <w:rFonts w:hint="eastAsia"/>
          <w:sz w:val="24"/>
        </w:rPr>
        <w:t>1.14</w:t>
      </w:r>
      <w:r w:rsidR="004C0D81">
        <w:rPr>
          <w:rFonts w:hint="eastAsia"/>
          <w:sz w:val="24"/>
        </w:rPr>
        <w:t>亿吨</w:t>
      </w:r>
      <w:r w:rsidR="004C0D81">
        <w:rPr>
          <w:rFonts w:hint="eastAsia"/>
          <w:sz w:val="24"/>
        </w:rPr>
        <w:t>CO</w:t>
      </w:r>
      <w:r w:rsidR="004C0D81" w:rsidRPr="0094578E">
        <w:rPr>
          <w:rFonts w:hint="eastAsia"/>
          <w:sz w:val="24"/>
          <w:vertAlign w:val="subscript"/>
        </w:rPr>
        <w:t>2</w:t>
      </w:r>
      <w:r w:rsidR="00DF4D9A">
        <w:rPr>
          <w:rFonts w:hint="eastAsia"/>
          <w:sz w:val="24"/>
        </w:rPr>
        <w:t>当量</w:t>
      </w:r>
      <w:r w:rsidR="004C0D81">
        <w:rPr>
          <w:rFonts w:hint="eastAsia"/>
          <w:sz w:val="24"/>
        </w:rPr>
        <w:t>，运输环节间接排放</w:t>
      </w:r>
      <w:r w:rsidR="004C0D81">
        <w:rPr>
          <w:rFonts w:hint="eastAsia"/>
          <w:sz w:val="24"/>
        </w:rPr>
        <w:t>0.14</w:t>
      </w:r>
      <w:r w:rsidR="004C0D81">
        <w:rPr>
          <w:rFonts w:hint="eastAsia"/>
          <w:sz w:val="24"/>
        </w:rPr>
        <w:t>亿吨</w:t>
      </w:r>
      <w:r w:rsidR="004C0D81">
        <w:rPr>
          <w:rFonts w:hint="eastAsia"/>
          <w:sz w:val="24"/>
        </w:rPr>
        <w:t>CO</w:t>
      </w:r>
      <w:r w:rsidR="004C0D81" w:rsidRPr="0094578E">
        <w:rPr>
          <w:rFonts w:hint="eastAsia"/>
          <w:sz w:val="24"/>
          <w:vertAlign w:val="subscript"/>
        </w:rPr>
        <w:t>2</w:t>
      </w:r>
      <w:r w:rsidR="00DF4D9A">
        <w:rPr>
          <w:rFonts w:hint="eastAsia"/>
          <w:sz w:val="24"/>
        </w:rPr>
        <w:t>当量</w:t>
      </w:r>
      <w:r w:rsidR="005730DF">
        <w:rPr>
          <w:rFonts w:hint="eastAsia"/>
          <w:sz w:val="24"/>
        </w:rPr>
        <w:t>。基准情景下，</w:t>
      </w:r>
      <w:r w:rsidR="005730DF">
        <w:rPr>
          <w:rFonts w:hint="eastAsia"/>
          <w:sz w:val="24"/>
        </w:rPr>
        <w:t>2013</w:t>
      </w:r>
      <w:r w:rsidR="005730DF">
        <w:rPr>
          <w:rFonts w:hint="eastAsia"/>
          <w:sz w:val="24"/>
        </w:rPr>
        <w:t>年之后煤炭行业排放呈现短期下降趋势，到</w:t>
      </w:r>
      <w:r w:rsidR="005730DF">
        <w:rPr>
          <w:rFonts w:hint="eastAsia"/>
          <w:sz w:val="24"/>
        </w:rPr>
        <w:t>2016</w:t>
      </w:r>
      <w:r w:rsidR="005730DF">
        <w:rPr>
          <w:rFonts w:hint="eastAsia"/>
          <w:sz w:val="24"/>
        </w:rPr>
        <w:t>年达到一个低峰，</w:t>
      </w:r>
      <w:r w:rsidR="005730DF">
        <w:rPr>
          <w:rFonts w:hint="eastAsia"/>
          <w:sz w:val="24"/>
        </w:rPr>
        <w:t>2016</w:t>
      </w:r>
      <w:r w:rsidR="005730DF">
        <w:rPr>
          <w:rFonts w:hint="eastAsia"/>
          <w:sz w:val="24"/>
        </w:rPr>
        <w:t>年煤炭供应行业总排放约</w:t>
      </w:r>
      <w:r w:rsidR="005730DF">
        <w:rPr>
          <w:rFonts w:hint="eastAsia"/>
          <w:sz w:val="24"/>
        </w:rPr>
        <w:t>6.66</w:t>
      </w:r>
      <w:r w:rsidR="005730DF">
        <w:rPr>
          <w:rFonts w:hint="eastAsia"/>
          <w:sz w:val="24"/>
        </w:rPr>
        <w:t>亿吨，其中直接排放</w:t>
      </w:r>
      <w:r w:rsidR="005730DF">
        <w:rPr>
          <w:rFonts w:hint="eastAsia"/>
          <w:sz w:val="24"/>
        </w:rPr>
        <w:t>5.70</w:t>
      </w:r>
      <w:r w:rsidR="005730DF">
        <w:rPr>
          <w:rFonts w:hint="eastAsia"/>
          <w:sz w:val="24"/>
        </w:rPr>
        <w:t>亿吨左右，间接排放</w:t>
      </w:r>
      <w:r w:rsidR="005730DF">
        <w:rPr>
          <w:rFonts w:hint="eastAsia"/>
          <w:sz w:val="24"/>
        </w:rPr>
        <w:t>0.96</w:t>
      </w:r>
      <w:r w:rsidR="005730DF">
        <w:rPr>
          <w:rFonts w:hint="eastAsia"/>
          <w:sz w:val="24"/>
        </w:rPr>
        <w:t>亿吨左右；</w:t>
      </w:r>
      <w:r w:rsidR="005730DF">
        <w:rPr>
          <w:rFonts w:hint="eastAsia"/>
          <w:sz w:val="24"/>
        </w:rPr>
        <w:t>2017</w:t>
      </w:r>
      <w:r w:rsidR="005730DF">
        <w:rPr>
          <w:rFonts w:hint="eastAsia"/>
          <w:sz w:val="24"/>
        </w:rPr>
        <w:t>年开始反弹至</w:t>
      </w:r>
      <w:r w:rsidR="005730DF">
        <w:rPr>
          <w:rFonts w:hint="eastAsia"/>
          <w:sz w:val="24"/>
        </w:rPr>
        <w:t>2020</w:t>
      </w:r>
      <w:r w:rsidR="005730DF">
        <w:rPr>
          <w:rFonts w:hint="eastAsia"/>
          <w:sz w:val="24"/>
        </w:rPr>
        <w:t>年再次达到一个高峰，</w:t>
      </w:r>
      <w:r w:rsidR="005730DF">
        <w:rPr>
          <w:rFonts w:hint="eastAsia"/>
          <w:sz w:val="24"/>
        </w:rPr>
        <w:t>2020</w:t>
      </w:r>
      <w:r w:rsidR="005730DF">
        <w:rPr>
          <w:rFonts w:hint="eastAsia"/>
          <w:sz w:val="24"/>
        </w:rPr>
        <w:t>年煤炭供应行业总排放约</w:t>
      </w:r>
      <w:r w:rsidR="005730DF">
        <w:rPr>
          <w:rFonts w:hint="eastAsia"/>
          <w:sz w:val="24"/>
        </w:rPr>
        <w:t>7.10</w:t>
      </w:r>
      <w:r w:rsidR="005730DF">
        <w:rPr>
          <w:rFonts w:hint="eastAsia"/>
          <w:sz w:val="24"/>
        </w:rPr>
        <w:t>亿吨，其中直接排放</w:t>
      </w:r>
      <w:r w:rsidR="005730DF">
        <w:rPr>
          <w:rFonts w:hint="eastAsia"/>
          <w:sz w:val="24"/>
        </w:rPr>
        <w:t>6.01</w:t>
      </w:r>
      <w:r w:rsidR="005730DF">
        <w:rPr>
          <w:rFonts w:hint="eastAsia"/>
          <w:sz w:val="24"/>
        </w:rPr>
        <w:t>亿吨左右，间接排放</w:t>
      </w:r>
      <w:r w:rsidR="005730DF">
        <w:rPr>
          <w:rFonts w:hint="eastAsia"/>
          <w:sz w:val="24"/>
        </w:rPr>
        <w:t>1.09</w:t>
      </w:r>
      <w:r w:rsidR="005730DF">
        <w:rPr>
          <w:rFonts w:hint="eastAsia"/>
          <w:sz w:val="24"/>
        </w:rPr>
        <w:t>亿吨左右，在这期间由于煤矿瓦斯抽采利用技术的发展，使得煤炭生产环节温室气体排放系数减小，因此煤炭行业排放量增幅较小；</w:t>
      </w:r>
      <w:r w:rsidR="005730DF">
        <w:rPr>
          <w:rFonts w:hint="eastAsia"/>
          <w:sz w:val="24"/>
        </w:rPr>
        <w:t>2020</w:t>
      </w:r>
      <w:r w:rsidR="005730DF">
        <w:rPr>
          <w:rFonts w:hint="eastAsia"/>
          <w:sz w:val="24"/>
        </w:rPr>
        <w:t>年之后煤炭行业呈现长期下降趋势，</w:t>
      </w:r>
      <w:r w:rsidR="005730DF">
        <w:rPr>
          <w:rFonts w:hint="eastAsia"/>
          <w:sz w:val="24"/>
        </w:rPr>
        <w:t>2025</w:t>
      </w:r>
      <w:r w:rsidR="005730DF">
        <w:rPr>
          <w:rFonts w:hint="eastAsia"/>
          <w:sz w:val="24"/>
        </w:rPr>
        <w:t>年煤炭供应行业总排放约</w:t>
      </w:r>
      <w:r w:rsidR="005730DF">
        <w:rPr>
          <w:rFonts w:hint="eastAsia"/>
          <w:sz w:val="24"/>
        </w:rPr>
        <w:t>5.87</w:t>
      </w:r>
      <w:r w:rsidR="005730DF">
        <w:rPr>
          <w:rFonts w:hint="eastAsia"/>
          <w:sz w:val="24"/>
        </w:rPr>
        <w:t>亿吨，其中直接排放</w:t>
      </w:r>
      <w:r w:rsidR="005730DF">
        <w:rPr>
          <w:rFonts w:hint="eastAsia"/>
          <w:sz w:val="24"/>
        </w:rPr>
        <w:t>4.86</w:t>
      </w:r>
      <w:r w:rsidR="005730DF">
        <w:rPr>
          <w:rFonts w:hint="eastAsia"/>
          <w:sz w:val="24"/>
        </w:rPr>
        <w:t>亿吨左右，间接排放</w:t>
      </w:r>
      <w:r w:rsidR="005730DF">
        <w:rPr>
          <w:rFonts w:hint="eastAsia"/>
          <w:sz w:val="24"/>
        </w:rPr>
        <w:t>1.01</w:t>
      </w:r>
      <w:r w:rsidR="005730DF">
        <w:rPr>
          <w:rFonts w:hint="eastAsia"/>
          <w:sz w:val="24"/>
        </w:rPr>
        <w:t>亿吨左右；</w:t>
      </w:r>
      <w:r w:rsidR="005730DF">
        <w:rPr>
          <w:rFonts w:hint="eastAsia"/>
          <w:sz w:val="24"/>
        </w:rPr>
        <w:t>2030</w:t>
      </w:r>
      <w:r w:rsidR="005730DF">
        <w:rPr>
          <w:rFonts w:hint="eastAsia"/>
          <w:sz w:val="24"/>
        </w:rPr>
        <w:t>年总排放约</w:t>
      </w:r>
      <w:r w:rsidR="005730DF">
        <w:rPr>
          <w:rFonts w:hint="eastAsia"/>
          <w:sz w:val="24"/>
        </w:rPr>
        <w:t>5.50</w:t>
      </w:r>
      <w:r w:rsidR="005730DF">
        <w:rPr>
          <w:rFonts w:hint="eastAsia"/>
          <w:sz w:val="24"/>
        </w:rPr>
        <w:t>亿吨，其中直接排放</w:t>
      </w:r>
      <w:r w:rsidR="005730DF">
        <w:rPr>
          <w:rFonts w:hint="eastAsia"/>
          <w:sz w:val="24"/>
        </w:rPr>
        <w:t>4.51</w:t>
      </w:r>
      <w:r w:rsidR="005730DF">
        <w:rPr>
          <w:rFonts w:hint="eastAsia"/>
          <w:sz w:val="24"/>
        </w:rPr>
        <w:t>亿吨左右，间接排放</w:t>
      </w:r>
      <w:r w:rsidR="005730DF">
        <w:rPr>
          <w:rFonts w:hint="eastAsia"/>
          <w:sz w:val="24"/>
        </w:rPr>
        <w:t>0.99</w:t>
      </w:r>
      <w:r w:rsidR="005730DF">
        <w:rPr>
          <w:rFonts w:hint="eastAsia"/>
          <w:sz w:val="24"/>
        </w:rPr>
        <w:t>亿吨左右。</w:t>
      </w:r>
    </w:p>
    <w:p w14:paraId="459880BE" w14:textId="77777777" w:rsidR="008A33A6" w:rsidRPr="004E704F" w:rsidRDefault="00014739" w:rsidP="004E704F">
      <w:pPr>
        <w:pStyle w:val="2"/>
        <w:rPr>
          <w:sz w:val="24"/>
        </w:rPr>
      </w:pPr>
      <w:r w:rsidRPr="004E704F">
        <w:rPr>
          <w:rFonts w:hint="eastAsia"/>
          <w:sz w:val="24"/>
        </w:rPr>
        <w:lastRenderedPageBreak/>
        <w:t>3.2</w:t>
      </w:r>
      <w:r w:rsidR="00381665" w:rsidRPr="004E704F">
        <w:rPr>
          <w:rFonts w:hint="eastAsia"/>
          <w:sz w:val="24"/>
        </w:rPr>
        <w:t>比较</w:t>
      </w:r>
      <w:r w:rsidR="005730DF" w:rsidRPr="004E704F">
        <w:rPr>
          <w:rFonts w:hint="eastAsia"/>
          <w:sz w:val="24"/>
        </w:rPr>
        <w:t>情景</w:t>
      </w:r>
    </w:p>
    <w:p w14:paraId="068FD87C" w14:textId="77777777" w:rsidR="005730DF" w:rsidRPr="004E704F" w:rsidRDefault="005730DF" w:rsidP="004E704F">
      <w:pPr>
        <w:pStyle w:val="3"/>
        <w:rPr>
          <w:sz w:val="24"/>
        </w:rPr>
      </w:pPr>
      <w:r w:rsidRPr="004E704F">
        <w:rPr>
          <w:rFonts w:hint="eastAsia"/>
          <w:sz w:val="24"/>
        </w:rPr>
        <w:t>3.2.1</w:t>
      </w:r>
      <w:r w:rsidRPr="004E704F">
        <w:rPr>
          <w:rFonts w:hint="eastAsia"/>
          <w:sz w:val="24"/>
        </w:rPr>
        <w:t>布局优化</w:t>
      </w:r>
    </w:p>
    <w:p w14:paraId="5770D042" w14:textId="77777777" w:rsidR="002D24D9" w:rsidRDefault="005730DF" w:rsidP="00E95A71">
      <w:pPr>
        <w:spacing w:line="360" w:lineRule="auto"/>
        <w:ind w:firstLineChars="200" w:firstLine="480"/>
        <w:rPr>
          <w:rFonts w:asciiTheme="minorEastAsia" w:hAnsiTheme="minorEastAsia"/>
          <w:sz w:val="24"/>
        </w:rPr>
      </w:pPr>
      <w:r>
        <w:rPr>
          <w:rFonts w:asciiTheme="minorEastAsia" w:hAnsiTheme="minorEastAsia" w:hint="eastAsia"/>
          <w:sz w:val="24"/>
        </w:rPr>
        <w:t>优化</w:t>
      </w:r>
      <w:r w:rsidR="008A33A6">
        <w:rPr>
          <w:rFonts w:asciiTheme="minorEastAsia" w:hAnsiTheme="minorEastAsia" w:hint="eastAsia"/>
          <w:sz w:val="24"/>
        </w:rPr>
        <w:t>结果显示，</w:t>
      </w:r>
      <w:r w:rsidR="008A33A6" w:rsidRPr="008A33A6">
        <w:rPr>
          <w:rFonts w:asciiTheme="minorEastAsia" w:hAnsiTheme="minorEastAsia" w:hint="eastAsia"/>
          <w:sz w:val="24"/>
        </w:rPr>
        <w:t>煤炭生产峰值年是2013年，2013</w:t>
      </w:r>
      <w:r w:rsidR="008A33A6">
        <w:rPr>
          <w:rFonts w:asciiTheme="minorEastAsia" w:hAnsiTheme="minorEastAsia" w:hint="eastAsia"/>
          <w:sz w:val="24"/>
        </w:rPr>
        <w:t>年之前</w:t>
      </w:r>
      <w:r w:rsidR="008A33A6" w:rsidRPr="008A33A6">
        <w:rPr>
          <w:rFonts w:asciiTheme="minorEastAsia" w:hAnsiTheme="minorEastAsia" w:hint="eastAsia"/>
          <w:sz w:val="24"/>
        </w:rPr>
        <w:t>由于煤炭需求增长较快，导致煤炭生产过剩，2013</w:t>
      </w:r>
      <w:r w:rsidR="008A33A6">
        <w:rPr>
          <w:rFonts w:asciiTheme="minorEastAsia" w:hAnsiTheme="minorEastAsia" w:hint="eastAsia"/>
          <w:sz w:val="24"/>
        </w:rPr>
        <w:t>年之后</w:t>
      </w:r>
      <w:r w:rsidR="008A33A6" w:rsidRPr="008A33A6">
        <w:rPr>
          <w:rFonts w:asciiTheme="minorEastAsia" w:hAnsiTheme="minorEastAsia" w:hint="eastAsia"/>
          <w:sz w:val="24"/>
        </w:rPr>
        <w:t>国家为治理环境下达去产能、去库存等政策，煤炭行业步入正规化，煤炭开采量下降。直到2016年，煤炭开采量达到一个低点，煤价极低，使得2017</w:t>
      </w:r>
      <w:r w:rsidR="003E7212">
        <w:rPr>
          <w:rFonts w:asciiTheme="minorEastAsia" w:hAnsiTheme="minorEastAsia" w:hint="eastAsia"/>
          <w:sz w:val="24"/>
        </w:rPr>
        <w:t>年煤炭需求</w:t>
      </w:r>
      <w:r w:rsidR="008A33A6" w:rsidRPr="008A33A6">
        <w:rPr>
          <w:rFonts w:asciiTheme="minorEastAsia" w:hAnsiTheme="minorEastAsia" w:hint="eastAsia"/>
          <w:sz w:val="24"/>
        </w:rPr>
        <w:t>有反弹。之后，由于国家关于环保的政策、非化石能源的发展、产业结构的升级、能效的提升等因素，煤炭需求呈下降趋势，</w:t>
      </w:r>
      <w:r w:rsidR="0095233F">
        <w:rPr>
          <w:rFonts w:asciiTheme="minorEastAsia" w:hAnsiTheme="minorEastAsia" w:hint="eastAsia"/>
          <w:sz w:val="24"/>
        </w:rPr>
        <w:t>因此煤</w:t>
      </w:r>
      <w:r w:rsidR="008A33A6" w:rsidRPr="008A33A6">
        <w:rPr>
          <w:rFonts w:asciiTheme="minorEastAsia" w:hAnsiTheme="minorEastAsia" w:hint="eastAsia"/>
          <w:sz w:val="24"/>
        </w:rPr>
        <w:t>炭供</w:t>
      </w:r>
      <w:r w:rsidR="00381665">
        <w:rPr>
          <w:rFonts w:asciiTheme="minorEastAsia" w:hAnsiTheme="minorEastAsia" w:hint="eastAsia"/>
          <w:sz w:val="24"/>
        </w:rPr>
        <w:t>给呈下降趋势。</w:t>
      </w:r>
      <w:r w:rsidR="0095233F">
        <w:rPr>
          <w:rFonts w:asciiTheme="minorEastAsia" w:hAnsiTheme="minorEastAsia" w:hint="eastAsia"/>
          <w:sz w:val="24"/>
        </w:rPr>
        <w:t>在这期间煤炭开发逐步趋于集中化，集中于晋蒙、西北地区尤其是内蒙古、陕西、新疆、宁夏的煤炭开发相对保持增长。</w:t>
      </w:r>
      <w:r w:rsidR="00381665">
        <w:rPr>
          <w:rFonts w:asciiTheme="minorEastAsia" w:hAnsiTheme="minorEastAsia" w:hint="eastAsia"/>
          <w:sz w:val="24"/>
        </w:rPr>
        <w:t>比较情景下的减排力度极大，具有明显的减排优势，</w:t>
      </w:r>
      <w:r w:rsidR="008A33A6" w:rsidRPr="008A33A6">
        <w:rPr>
          <w:rFonts w:asciiTheme="minorEastAsia" w:hAnsiTheme="minorEastAsia" w:hint="eastAsia"/>
          <w:sz w:val="24"/>
        </w:rPr>
        <w:t>但</w:t>
      </w:r>
      <w:r w:rsidR="00381665">
        <w:rPr>
          <w:rFonts w:asciiTheme="minorEastAsia" w:hAnsiTheme="minorEastAsia" w:hint="eastAsia"/>
          <w:sz w:val="24"/>
        </w:rPr>
        <w:t>该</w:t>
      </w:r>
      <w:r w:rsidR="008A33A6" w:rsidRPr="008A33A6">
        <w:rPr>
          <w:rFonts w:asciiTheme="minorEastAsia" w:hAnsiTheme="minorEastAsia" w:hint="eastAsia"/>
          <w:sz w:val="24"/>
        </w:rPr>
        <w:t>情景依托于严苛的环保政策、经济结构快速</w:t>
      </w:r>
      <w:r w:rsidR="00E95A71">
        <w:rPr>
          <w:rFonts w:asciiTheme="minorEastAsia" w:hAnsiTheme="minorEastAsia" w:hint="eastAsia"/>
          <w:sz w:val="24"/>
        </w:rPr>
        <w:t>转型升级、适当的宏观调控以及新能源的发展，实现环境具有巨大的挑战。</w:t>
      </w:r>
    </w:p>
    <w:p w14:paraId="1DF24B32" w14:textId="77777777" w:rsidR="00E95A71" w:rsidRPr="004E704F" w:rsidRDefault="005730DF" w:rsidP="004E704F">
      <w:pPr>
        <w:pStyle w:val="3"/>
        <w:rPr>
          <w:sz w:val="24"/>
        </w:rPr>
      </w:pPr>
      <w:r w:rsidRPr="004E704F">
        <w:rPr>
          <w:rFonts w:hint="eastAsia"/>
          <w:sz w:val="24"/>
        </w:rPr>
        <w:t>3.2.2</w:t>
      </w:r>
      <w:r w:rsidRPr="004E704F">
        <w:rPr>
          <w:rFonts w:hint="eastAsia"/>
          <w:sz w:val="24"/>
        </w:rPr>
        <w:t>技术路径</w:t>
      </w:r>
    </w:p>
    <w:p w14:paraId="733B811F" w14:textId="77777777" w:rsidR="005730DF" w:rsidRPr="00C05226" w:rsidRDefault="005730DF" w:rsidP="005730DF">
      <w:pPr>
        <w:spacing w:line="360" w:lineRule="auto"/>
        <w:ind w:firstLine="468"/>
        <w:rPr>
          <w:rFonts w:asciiTheme="minorEastAsia" w:hAnsiTheme="minorEastAsia"/>
          <w:sz w:val="24"/>
        </w:rPr>
      </w:pPr>
      <w:r>
        <w:rPr>
          <w:rFonts w:asciiTheme="minorEastAsia" w:hAnsiTheme="minorEastAsia" w:hint="eastAsia"/>
          <w:sz w:val="24"/>
        </w:rPr>
        <w:t>比较情景的减排是比基准情景更深度的减排，研究显示深度减排仍具备一定的经济可行性。煤炭生产环节减排成本较低，潜力较大，主要减排技术是更深度的煤矿瓦斯抽采利用技术，另一方面压缩高、突瓦斯矿规模，从源头上实现减排，通过引进先进的煤矿瓦斯抽采利用设备及压缩高、突矿生产，与基准情景相比到2020年可实现深度减排2450万吨当量CO</w:t>
      </w:r>
      <w:r w:rsidRPr="002C1B04">
        <w:rPr>
          <w:rFonts w:asciiTheme="minorEastAsia" w:hAnsiTheme="minorEastAsia" w:hint="eastAsia"/>
          <w:sz w:val="24"/>
          <w:vertAlign w:val="subscript"/>
        </w:rPr>
        <w:t>2</w:t>
      </w:r>
      <w:r>
        <w:rPr>
          <w:rFonts w:asciiTheme="minorEastAsia" w:hAnsiTheme="minorEastAsia" w:hint="eastAsia"/>
          <w:sz w:val="24"/>
        </w:rPr>
        <w:t>。煤炭运输环节减排成本较高，潜力较大。煤炭公路运输减排技术主要有均值压燃技术（HCCI）柴油车应用技术、高效柴油货车。均值压燃技术（HCCI）柴油车应用技术比传统柴油机提效12%—33%，2020年减排成本为-1114.4元/吨CO</w:t>
      </w:r>
      <w:r w:rsidRPr="002C1B04">
        <w:rPr>
          <w:rFonts w:asciiTheme="minorEastAsia" w:hAnsiTheme="minorEastAsia" w:hint="eastAsia"/>
          <w:sz w:val="24"/>
          <w:vertAlign w:val="subscript"/>
        </w:rPr>
        <w:t>2</w:t>
      </w:r>
      <w:r>
        <w:rPr>
          <w:rFonts w:asciiTheme="minorEastAsia" w:hAnsiTheme="minorEastAsia" w:hint="eastAsia"/>
          <w:sz w:val="24"/>
        </w:rPr>
        <w:t>（负值表示正收益），减排潜力为3.5万吨CO</w:t>
      </w:r>
      <w:r w:rsidRPr="002C1B04">
        <w:rPr>
          <w:rFonts w:asciiTheme="minorEastAsia" w:hAnsiTheme="minorEastAsia" w:hint="eastAsia"/>
          <w:sz w:val="24"/>
          <w:vertAlign w:val="subscript"/>
        </w:rPr>
        <w:t>2</w:t>
      </w:r>
      <w:r>
        <w:rPr>
          <w:rFonts w:asciiTheme="minorEastAsia" w:hAnsiTheme="minorEastAsia" w:hint="eastAsia"/>
          <w:sz w:val="24"/>
        </w:rPr>
        <w:t>；高效柴油货车比传统货车油耗降低16%，2020年减排成本为-1690元/吨CO</w:t>
      </w:r>
      <w:r w:rsidRPr="002C1B04">
        <w:rPr>
          <w:rFonts w:asciiTheme="minorEastAsia" w:hAnsiTheme="minorEastAsia" w:hint="eastAsia"/>
          <w:sz w:val="24"/>
          <w:vertAlign w:val="subscript"/>
        </w:rPr>
        <w:t>2</w:t>
      </w:r>
      <w:r>
        <w:rPr>
          <w:rFonts w:asciiTheme="minorEastAsia" w:hAnsiTheme="minorEastAsia" w:hint="eastAsia"/>
          <w:sz w:val="24"/>
        </w:rPr>
        <w:t>，减排潜力2852万吨CO</w:t>
      </w:r>
      <w:r w:rsidRPr="002C1B04">
        <w:rPr>
          <w:rFonts w:asciiTheme="minorEastAsia" w:hAnsiTheme="minorEastAsia" w:hint="eastAsia"/>
          <w:sz w:val="24"/>
          <w:vertAlign w:val="subscript"/>
        </w:rPr>
        <w:t>2</w:t>
      </w:r>
      <w:r>
        <w:rPr>
          <w:rFonts w:asciiTheme="minorEastAsia" w:hAnsiTheme="minorEastAsia" w:hint="eastAsia"/>
          <w:sz w:val="24"/>
        </w:rPr>
        <w:t>。煤炭铁路运输减排技术主要指铁路电气化改造，2020年减排成本为1405元/吨CO</w:t>
      </w:r>
      <w:r w:rsidRPr="002C1B04">
        <w:rPr>
          <w:rFonts w:asciiTheme="minorEastAsia" w:hAnsiTheme="minorEastAsia" w:hint="eastAsia"/>
          <w:sz w:val="24"/>
          <w:vertAlign w:val="subscript"/>
        </w:rPr>
        <w:t>2</w:t>
      </w:r>
      <w:r>
        <w:rPr>
          <w:rFonts w:asciiTheme="minorEastAsia" w:hAnsiTheme="minorEastAsia" w:hint="eastAsia"/>
          <w:sz w:val="24"/>
        </w:rPr>
        <w:t>，减排潜力为1267万吨CO</w:t>
      </w:r>
      <w:r w:rsidRPr="002C1B04">
        <w:rPr>
          <w:rFonts w:asciiTheme="minorEastAsia" w:hAnsiTheme="minorEastAsia" w:hint="eastAsia"/>
          <w:sz w:val="24"/>
          <w:vertAlign w:val="subscript"/>
        </w:rPr>
        <w:t>2</w:t>
      </w:r>
      <w:r>
        <w:rPr>
          <w:rFonts w:asciiTheme="minorEastAsia" w:hAnsiTheme="minorEastAsia" w:hint="eastAsia"/>
          <w:sz w:val="24"/>
        </w:rPr>
        <w:t>。</w:t>
      </w:r>
    </w:p>
    <w:p w14:paraId="4CD578CC" w14:textId="77777777" w:rsidR="005730DF" w:rsidRPr="004E704F" w:rsidRDefault="005730DF" w:rsidP="004E704F">
      <w:pPr>
        <w:pStyle w:val="3"/>
        <w:rPr>
          <w:sz w:val="24"/>
        </w:rPr>
      </w:pPr>
      <w:r w:rsidRPr="004E704F">
        <w:rPr>
          <w:rFonts w:hint="eastAsia"/>
          <w:sz w:val="24"/>
        </w:rPr>
        <w:t>3.2.3</w:t>
      </w:r>
      <w:r w:rsidR="00F8286E" w:rsidRPr="004E704F">
        <w:rPr>
          <w:rFonts w:hint="eastAsia"/>
          <w:sz w:val="24"/>
        </w:rPr>
        <w:t>碳排放</w:t>
      </w:r>
    </w:p>
    <w:p w14:paraId="348811BC" w14:textId="77777777" w:rsidR="00FA00DB" w:rsidRDefault="00183B88" w:rsidP="00183B88">
      <w:pPr>
        <w:spacing w:line="360" w:lineRule="auto"/>
        <w:ind w:firstLine="480"/>
        <w:rPr>
          <w:sz w:val="24"/>
        </w:rPr>
      </w:pPr>
      <w:r w:rsidRPr="00C8293E">
        <w:rPr>
          <w:rFonts w:asciiTheme="minorEastAsia" w:hAnsiTheme="minorEastAsia" w:hint="eastAsia"/>
          <w:sz w:val="24"/>
        </w:rPr>
        <w:t>利用各省区煤炭</w:t>
      </w:r>
      <w:r>
        <w:rPr>
          <w:rFonts w:asciiTheme="minorEastAsia" w:hAnsiTheme="minorEastAsia" w:hint="eastAsia"/>
          <w:sz w:val="24"/>
        </w:rPr>
        <w:t>优化产</w:t>
      </w:r>
      <w:r w:rsidRPr="00C8293E">
        <w:rPr>
          <w:rFonts w:asciiTheme="minorEastAsia" w:hAnsiTheme="minorEastAsia" w:hint="eastAsia"/>
          <w:sz w:val="24"/>
        </w:rPr>
        <w:t>量数据</w:t>
      </w:r>
      <w:r>
        <w:rPr>
          <w:rFonts w:asciiTheme="minorEastAsia" w:hAnsiTheme="minorEastAsia" w:hint="eastAsia"/>
          <w:sz w:val="24"/>
        </w:rPr>
        <w:t>（数据源于布局优化结果）</w:t>
      </w:r>
      <w:r w:rsidRPr="00C8293E">
        <w:rPr>
          <w:rFonts w:asciiTheme="minorEastAsia" w:hAnsiTheme="minorEastAsia" w:hint="eastAsia"/>
          <w:sz w:val="24"/>
        </w:rPr>
        <w:t>以及各省采选环节</w:t>
      </w:r>
      <w:r w:rsidRPr="00C8293E">
        <w:rPr>
          <w:rFonts w:asciiTheme="minorEastAsia" w:hAnsiTheme="minorEastAsia" w:hint="eastAsia"/>
          <w:sz w:val="24"/>
        </w:rPr>
        <w:lastRenderedPageBreak/>
        <w:t>温室气体排放系数，核算</w:t>
      </w:r>
      <w:r>
        <w:rPr>
          <w:rFonts w:asciiTheme="minorEastAsia" w:hAnsiTheme="minorEastAsia" w:hint="eastAsia"/>
          <w:sz w:val="24"/>
        </w:rPr>
        <w:t>出</w:t>
      </w:r>
      <w:r w:rsidRPr="00C8293E">
        <w:rPr>
          <w:rFonts w:asciiTheme="minorEastAsia" w:hAnsiTheme="minorEastAsia" w:hint="eastAsia"/>
          <w:sz w:val="24"/>
        </w:rPr>
        <w:t>各省区煤炭采选环节</w:t>
      </w:r>
      <w:r>
        <w:rPr>
          <w:rFonts w:asciiTheme="minorEastAsia" w:hAnsiTheme="minorEastAsia" w:hint="eastAsia"/>
          <w:sz w:val="24"/>
        </w:rPr>
        <w:t>温室气体排放量并加总得到全国煤炭生产排放如图4（其中黑色表示生产环节直接排放，黄色表示间接排放），</w:t>
      </w:r>
      <w:r>
        <w:rPr>
          <w:rFonts w:hint="eastAsia"/>
          <w:sz w:val="24"/>
        </w:rPr>
        <w:t>利用各省、各路线煤炭优化运输数据（数据来源于布局优化结果）以及相应的碳排放系数，核算出各省、各路线碳排放量并加总得全国煤炭运输环节碳排放量如图</w:t>
      </w:r>
      <w:r>
        <w:rPr>
          <w:rFonts w:hint="eastAsia"/>
          <w:sz w:val="24"/>
        </w:rPr>
        <w:t>5</w:t>
      </w:r>
      <w:r>
        <w:rPr>
          <w:rFonts w:hint="eastAsia"/>
          <w:sz w:val="24"/>
        </w:rPr>
        <w:t>（其中红色表示运输环节直接排放，蓝色表示运输环节间接排放），</w:t>
      </w:r>
      <w:r w:rsidR="00FA00DB" w:rsidRPr="00C8293E">
        <w:rPr>
          <w:rFonts w:asciiTheme="minorEastAsia" w:hAnsiTheme="minorEastAsia" w:hint="eastAsia"/>
          <w:sz w:val="24"/>
        </w:rPr>
        <w:t>利用</w:t>
      </w:r>
      <w:r w:rsidR="00FA00DB">
        <w:rPr>
          <w:rFonts w:asciiTheme="minorEastAsia" w:hAnsiTheme="minorEastAsia" w:hint="eastAsia"/>
          <w:sz w:val="24"/>
        </w:rPr>
        <w:t>各环节优化</w:t>
      </w:r>
      <w:r w:rsidR="00FA00DB" w:rsidRPr="00C8293E">
        <w:rPr>
          <w:rFonts w:asciiTheme="minorEastAsia" w:hAnsiTheme="minorEastAsia" w:hint="eastAsia"/>
          <w:sz w:val="24"/>
        </w:rPr>
        <w:t>数据</w:t>
      </w:r>
      <w:r w:rsidR="00FA00DB">
        <w:rPr>
          <w:rFonts w:asciiTheme="minorEastAsia" w:hAnsiTheme="minorEastAsia" w:hint="eastAsia"/>
          <w:sz w:val="24"/>
        </w:rPr>
        <w:t>（数据来源于模型优化结果）</w:t>
      </w:r>
      <w:r w:rsidR="00FA00DB" w:rsidRPr="00C8293E">
        <w:rPr>
          <w:rFonts w:asciiTheme="minorEastAsia" w:hAnsiTheme="minorEastAsia" w:hint="eastAsia"/>
          <w:sz w:val="24"/>
        </w:rPr>
        <w:t>以及各环节温室气体排放系数，</w:t>
      </w:r>
      <w:r w:rsidR="00FA00DB">
        <w:rPr>
          <w:rFonts w:asciiTheme="minorEastAsia" w:hAnsiTheme="minorEastAsia" w:hint="eastAsia"/>
          <w:sz w:val="24"/>
        </w:rPr>
        <w:t>核算出比较情景下</w:t>
      </w:r>
      <w:r w:rsidR="00FA00DB">
        <w:rPr>
          <w:rFonts w:hint="eastAsia"/>
          <w:sz w:val="24"/>
        </w:rPr>
        <w:t>煤炭供应行业</w:t>
      </w:r>
      <w:r w:rsidR="005730DF">
        <w:rPr>
          <w:rFonts w:hint="eastAsia"/>
          <w:sz w:val="24"/>
        </w:rPr>
        <w:t>总</w:t>
      </w:r>
      <w:r w:rsidR="00FA00DB">
        <w:rPr>
          <w:rFonts w:hint="eastAsia"/>
          <w:sz w:val="24"/>
        </w:rPr>
        <w:t>排放量如图</w:t>
      </w:r>
      <w:r>
        <w:rPr>
          <w:rFonts w:hint="eastAsia"/>
          <w:sz w:val="24"/>
        </w:rPr>
        <w:t>6</w:t>
      </w:r>
      <w:r w:rsidR="00FA00DB">
        <w:rPr>
          <w:rFonts w:hint="eastAsia"/>
          <w:sz w:val="24"/>
        </w:rPr>
        <w:t>（</w:t>
      </w:r>
      <w:r w:rsidR="005730DF">
        <w:rPr>
          <w:rFonts w:hint="eastAsia"/>
          <w:sz w:val="24"/>
        </w:rPr>
        <w:t>其中黑色表示煤炭生产过程中直接排放、红色表示煤炭运输过程中直接排放，黄色表示煤炭生产过程中间接排放，蓝色表示煤炭运输过程中间接排放</w:t>
      </w:r>
      <w:r w:rsidR="00B24F43">
        <w:rPr>
          <w:rFonts w:hint="eastAsia"/>
          <w:sz w:val="24"/>
        </w:rPr>
        <w:t>）。</w:t>
      </w:r>
    </w:p>
    <w:p w14:paraId="631D3B27" w14:textId="77777777" w:rsidR="00671B24" w:rsidRDefault="00671B24" w:rsidP="00671B24">
      <w:pPr>
        <w:keepNext/>
        <w:spacing w:line="360" w:lineRule="auto"/>
      </w:pPr>
      <w:r w:rsidRPr="00671B24">
        <w:rPr>
          <w:noProof/>
          <w:sz w:val="24"/>
        </w:rPr>
        <w:drawing>
          <wp:inline distT="0" distB="0" distL="0" distR="0" wp14:anchorId="53A2753D" wp14:editId="1A788AFE">
            <wp:extent cx="5268768" cy="3532909"/>
            <wp:effectExtent l="19050" t="0" r="27132" b="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373298C" w14:textId="77777777" w:rsidR="00183B88" w:rsidRDefault="00671B24" w:rsidP="00671B24">
      <w:pPr>
        <w:pStyle w:val="ab"/>
        <w:jc w:val="center"/>
      </w:pPr>
      <w:r>
        <w:rPr>
          <w:rFonts w:hint="eastAsia"/>
        </w:rPr>
        <w:t>图</w:t>
      </w:r>
      <w:r>
        <w:rPr>
          <w:rFonts w:hint="eastAsia"/>
        </w:rPr>
        <w:t xml:space="preserve">4  </w:t>
      </w:r>
      <w:r>
        <w:rPr>
          <w:rFonts w:hint="eastAsia"/>
        </w:rPr>
        <w:t>比较情景下生产环节温室气体排放（万吨</w:t>
      </w:r>
      <w:r>
        <w:rPr>
          <w:rFonts w:hint="eastAsia"/>
        </w:rPr>
        <w:t>CO</w:t>
      </w:r>
      <w:r w:rsidRPr="001F3E64">
        <w:rPr>
          <w:rFonts w:hint="eastAsia"/>
          <w:vertAlign w:val="subscript"/>
        </w:rPr>
        <w:t>2</w:t>
      </w:r>
      <w:r w:rsidR="00DF4D9A">
        <w:rPr>
          <w:rFonts w:hint="eastAsia"/>
        </w:rPr>
        <w:t>当量</w:t>
      </w:r>
      <w:r>
        <w:rPr>
          <w:rFonts w:hint="eastAsia"/>
        </w:rPr>
        <w:t>）</w:t>
      </w:r>
    </w:p>
    <w:p w14:paraId="240DCCA8" w14:textId="77777777" w:rsidR="001F3E64" w:rsidRPr="001F3E64" w:rsidRDefault="001F3E64" w:rsidP="001F3E64"/>
    <w:p w14:paraId="407118FB" w14:textId="77777777" w:rsidR="00183B88" w:rsidRPr="005C23D5" w:rsidRDefault="00671B24" w:rsidP="00345E52">
      <w:pPr>
        <w:spacing w:line="360" w:lineRule="auto"/>
        <w:ind w:firstLineChars="200" w:firstLine="480"/>
        <w:rPr>
          <w:sz w:val="24"/>
        </w:rPr>
      </w:pPr>
      <w:r>
        <w:rPr>
          <w:rFonts w:hint="eastAsia"/>
          <w:sz w:val="24"/>
        </w:rPr>
        <w:t>生产环节温室气体排放量与煤炭生产量正相关，也取决于碳排放系数，比较情景下煤炭生产环节的减排主要是通过生产布局和深度煤矿瓦斯抽采利用技术</w:t>
      </w:r>
      <w:r w:rsidR="005C23D5">
        <w:rPr>
          <w:rFonts w:hint="eastAsia"/>
          <w:sz w:val="24"/>
        </w:rPr>
        <w:t>，</w:t>
      </w:r>
      <w:r>
        <w:rPr>
          <w:rFonts w:hint="eastAsia"/>
          <w:sz w:val="24"/>
        </w:rPr>
        <w:t>煤炭生产排放于</w:t>
      </w:r>
      <w:r>
        <w:rPr>
          <w:rFonts w:hint="eastAsia"/>
          <w:sz w:val="24"/>
        </w:rPr>
        <w:t>2013</w:t>
      </w:r>
      <w:r>
        <w:rPr>
          <w:rFonts w:hint="eastAsia"/>
          <w:sz w:val="24"/>
        </w:rPr>
        <w:t>年达峰</w:t>
      </w:r>
      <w:r w:rsidR="005C23D5">
        <w:rPr>
          <w:rFonts w:hint="eastAsia"/>
          <w:sz w:val="24"/>
        </w:rPr>
        <w:t>。</w:t>
      </w:r>
      <w:r w:rsidR="005C23D5">
        <w:rPr>
          <w:rFonts w:hint="eastAsia"/>
          <w:sz w:val="24"/>
        </w:rPr>
        <w:t>2013</w:t>
      </w:r>
      <w:r w:rsidR="005C23D5">
        <w:rPr>
          <w:rFonts w:hint="eastAsia"/>
          <w:sz w:val="24"/>
        </w:rPr>
        <w:t>年之后煤炭生产排放呈现快速下降趋势，一方面</w:t>
      </w:r>
      <w:r w:rsidR="00604187">
        <w:rPr>
          <w:rFonts w:hint="eastAsia"/>
          <w:sz w:val="24"/>
        </w:rPr>
        <w:t>由于</w:t>
      </w:r>
      <w:r w:rsidR="0039194F">
        <w:rPr>
          <w:rFonts w:hint="eastAsia"/>
          <w:sz w:val="24"/>
        </w:rPr>
        <w:t>全社会用煤需求总体</w:t>
      </w:r>
      <w:r w:rsidR="005C23D5">
        <w:rPr>
          <w:rFonts w:hint="eastAsia"/>
          <w:sz w:val="24"/>
        </w:rPr>
        <w:t>开始</w:t>
      </w:r>
      <w:r w:rsidR="0039194F">
        <w:rPr>
          <w:rFonts w:hint="eastAsia"/>
          <w:sz w:val="24"/>
        </w:rPr>
        <w:t>下降</w:t>
      </w:r>
      <w:r w:rsidR="005C23D5">
        <w:rPr>
          <w:rFonts w:hint="eastAsia"/>
          <w:sz w:val="24"/>
        </w:rPr>
        <w:t>，从而煤炭生产下降；另一方面煤炭开发集中于晋蒙、西北等地区，该地区多为低瓦斯矿，又由于深度煤矿瓦斯抽采利用技术的投入，使得煤炭生产排放系数较低。</w:t>
      </w:r>
    </w:p>
    <w:p w14:paraId="4DD827C1" w14:textId="77777777" w:rsidR="00671B24" w:rsidRDefault="00C624F2" w:rsidP="00671B24">
      <w:pPr>
        <w:keepNext/>
        <w:spacing w:line="360" w:lineRule="auto"/>
      </w:pPr>
      <w:r w:rsidRPr="00C624F2">
        <w:rPr>
          <w:noProof/>
        </w:rPr>
        <w:lastRenderedPageBreak/>
        <w:drawing>
          <wp:inline distT="0" distB="0" distL="0" distR="0" wp14:anchorId="1D78DFFB" wp14:editId="41357261">
            <wp:extent cx="5201458" cy="3477491"/>
            <wp:effectExtent l="19050" t="0" r="18242" b="8659"/>
            <wp:docPr id="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879F765" w14:textId="77777777" w:rsidR="00183B88" w:rsidRDefault="00671B24" w:rsidP="00671B24">
      <w:pPr>
        <w:pStyle w:val="ab"/>
        <w:jc w:val="center"/>
      </w:pPr>
      <w:r>
        <w:rPr>
          <w:rFonts w:hint="eastAsia"/>
        </w:rPr>
        <w:t>图</w:t>
      </w:r>
      <w:r>
        <w:rPr>
          <w:rFonts w:hint="eastAsia"/>
        </w:rPr>
        <w:t xml:space="preserve">5  </w:t>
      </w:r>
      <w:r>
        <w:rPr>
          <w:rFonts w:hint="eastAsia"/>
        </w:rPr>
        <w:t>比较情景下运输环节温室气体排放（万吨</w:t>
      </w:r>
      <w:r>
        <w:rPr>
          <w:rFonts w:hint="eastAsia"/>
        </w:rPr>
        <w:t>CO</w:t>
      </w:r>
      <w:r w:rsidRPr="00390C54">
        <w:rPr>
          <w:rFonts w:hint="eastAsia"/>
          <w:vertAlign w:val="subscript"/>
        </w:rPr>
        <w:t>2</w:t>
      </w:r>
      <w:r w:rsidR="00DF4D9A">
        <w:rPr>
          <w:rFonts w:hint="eastAsia"/>
        </w:rPr>
        <w:t>当量</w:t>
      </w:r>
      <w:r>
        <w:rPr>
          <w:rFonts w:hint="eastAsia"/>
        </w:rPr>
        <w:t>）</w:t>
      </w:r>
    </w:p>
    <w:p w14:paraId="7A14C730" w14:textId="77777777" w:rsidR="00390C54" w:rsidRPr="00390C54" w:rsidRDefault="00390C54" w:rsidP="00390C54"/>
    <w:p w14:paraId="0A2A730D" w14:textId="77777777" w:rsidR="00183B88" w:rsidRDefault="00E80E03" w:rsidP="00183B88">
      <w:pPr>
        <w:spacing w:line="360" w:lineRule="auto"/>
        <w:ind w:firstLine="480"/>
        <w:rPr>
          <w:sz w:val="24"/>
        </w:rPr>
      </w:pPr>
      <w:r>
        <w:rPr>
          <w:rFonts w:hint="eastAsia"/>
          <w:sz w:val="24"/>
        </w:rPr>
        <w:t>比较情景下煤炭运输环节温室气体排放量与煤炭运输量</w:t>
      </w:r>
      <w:r w:rsidR="00C624F2">
        <w:rPr>
          <w:rFonts w:hint="eastAsia"/>
          <w:sz w:val="24"/>
        </w:rPr>
        <w:t>正相关，也取决于运输排放系数，</w:t>
      </w:r>
      <w:r>
        <w:rPr>
          <w:rFonts w:hint="eastAsia"/>
          <w:sz w:val="24"/>
        </w:rPr>
        <w:t>煤炭生产、消费峰值出现在</w:t>
      </w:r>
      <w:r>
        <w:rPr>
          <w:rFonts w:hint="eastAsia"/>
          <w:sz w:val="24"/>
        </w:rPr>
        <w:t>2013</w:t>
      </w:r>
      <w:r w:rsidR="00C624F2">
        <w:rPr>
          <w:rFonts w:hint="eastAsia"/>
          <w:sz w:val="24"/>
        </w:rPr>
        <w:t>年，因此煤炭运输环节排放也</w:t>
      </w:r>
      <w:r>
        <w:rPr>
          <w:rFonts w:hint="eastAsia"/>
          <w:sz w:val="24"/>
        </w:rPr>
        <w:t>在</w:t>
      </w:r>
      <w:r>
        <w:rPr>
          <w:rFonts w:hint="eastAsia"/>
          <w:sz w:val="24"/>
        </w:rPr>
        <w:t>2013</w:t>
      </w:r>
      <w:r>
        <w:rPr>
          <w:rFonts w:hint="eastAsia"/>
          <w:sz w:val="24"/>
        </w:rPr>
        <w:t>年达峰</w:t>
      </w:r>
      <w:r w:rsidR="00604187">
        <w:rPr>
          <w:rFonts w:hint="eastAsia"/>
          <w:sz w:val="24"/>
        </w:rPr>
        <w:t>。</w:t>
      </w:r>
      <w:r w:rsidR="00604187">
        <w:rPr>
          <w:rFonts w:hint="eastAsia"/>
          <w:sz w:val="24"/>
        </w:rPr>
        <w:t>2013</w:t>
      </w:r>
      <w:r w:rsidR="00604187">
        <w:rPr>
          <w:rFonts w:hint="eastAsia"/>
          <w:sz w:val="24"/>
        </w:rPr>
        <w:t>年之后煤炭运输环节排放呈现下降趋势，一是由于全社会用煤需求下降，煤炭运输相对</w:t>
      </w:r>
      <w:r w:rsidR="00C624F2">
        <w:rPr>
          <w:rFonts w:hint="eastAsia"/>
          <w:sz w:val="24"/>
        </w:rPr>
        <w:t>下降；</w:t>
      </w:r>
      <w:r w:rsidR="00DF4D9A">
        <w:rPr>
          <w:rFonts w:hint="eastAsia"/>
          <w:sz w:val="24"/>
        </w:rPr>
        <w:t>二是</w:t>
      </w:r>
      <w:r w:rsidR="00C624F2">
        <w:rPr>
          <w:rFonts w:hint="eastAsia"/>
          <w:sz w:val="24"/>
        </w:rPr>
        <w:t>由于</w:t>
      </w:r>
      <w:r w:rsidR="00C624F2">
        <w:rPr>
          <w:rFonts w:asciiTheme="minorEastAsia" w:hAnsiTheme="minorEastAsia" w:hint="eastAsia"/>
          <w:sz w:val="24"/>
        </w:rPr>
        <w:t>均值压燃技术（HCCI）柴油车应用技术、高效柴油货车、铁路电气化改造升级，使煤炭运输环节排放系数降低</w:t>
      </w:r>
      <w:r w:rsidR="00DF4D9A">
        <w:rPr>
          <w:rFonts w:asciiTheme="minorEastAsia" w:hAnsiTheme="minorEastAsia" w:hint="eastAsia"/>
          <w:sz w:val="24"/>
        </w:rPr>
        <w:t>；三是运输结构发生变化，铁路运输占比显著提高</w:t>
      </w:r>
      <w:r w:rsidR="00C624F2">
        <w:rPr>
          <w:rFonts w:asciiTheme="minorEastAsia" w:hAnsiTheme="minorEastAsia" w:hint="eastAsia"/>
          <w:sz w:val="24"/>
        </w:rPr>
        <w:t>。但由于煤炭生产集中于晋蒙、西北地区，导致其他地区煤炭需要调运，从而运输量相对上升，因此煤炭运输环节排放下降相对</w:t>
      </w:r>
      <w:r w:rsidR="00DF4D9A">
        <w:rPr>
          <w:rFonts w:asciiTheme="minorEastAsia" w:hAnsiTheme="minorEastAsia" w:hint="eastAsia"/>
          <w:sz w:val="24"/>
        </w:rPr>
        <w:t>于生产排放下降速度</w:t>
      </w:r>
      <w:r w:rsidR="00C624F2">
        <w:rPr>
          <w:rFonts w:asciiTheme="minorEastAsia" w:hAnsiTheme="minorEastAsia" w:hint="eastAsia"/>
          <w:sz w:val="24"/>
        </w:rPr>
        <w:t>较慢。</w:t>
      </w:r>
    </w:p>
    <w:p w14:paraId="198C81E2" w14:textId="77777777" w:rsidR="005434C1" w:rsidRDefault="00F560E9" w:rsidP="005434C1">
      <w:pPr>
        <w:keepNext/>
        <w:spacing w:line="360" w:lineRule="auto"/>
      </w:pPr>
      <w:r w:rsidRPr="00F560E9">
        <w:rPr>
          <w:noProof/>
        </w:rPr>
        <w:lastRenderedPageBreak/>
        <w:drawing>
          <wp:inline distT="0" distB="0" distL="0" distR="0" wp14:anchorId="3A71D70B" wp14:editId="3C5398BD">
            <wp:extent cx="5183794" cy="3484419"/>
            <wp:effectExtent l="19050" t="0" r="16856" b="1731"/>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5F6B81" w14:textId="77777777" w:rsidR="00FA00DB" w:rsidRDefault="005434C1" w:rsidP="005434C1">
      <w:pPr>
        <w:pStyle w:val="ab"/>
        <w:jc w:val="center"/>
      </w:pPr>
      <w:r>
        <w:rPr>
          <w:rFonts w:hint="eastAsia"/>
        </w:rPr>
        <w:t>图</w:t>
      </w:r>
      <w:r w:rsidR="00183B88">
        <w:rPr>
          <w:rFonts w:hint="eastAsia"/>
        </w:rPr>
        <w:t>6</w:t>
      </w:r>
      <w:r>
        <w:rPr>
          <w:rFonts w:hint="eastAsia"/>
        </w:rPr>
        <w:t xml:space="preserve">  </w:t>
      </w:r>
      <w:r>
        <w:rPr>
          <w:rFonts w:hint="eastAsia"/>
        </w:rPr>
        <w:t>比较情景下煤炭供应行业温室气体排放（万吨</w:t>
      </w:r>
      <w:r>
        <w:rPr>
          <w:rFonts w:hint="eastAsia"/>
        </w:rPr>
        <w:t>CO</w:t>
      </w:r>
      <w:r w:rsidRPr="00DA7100">
        <w:rPr>
          <w:rFonts w:hint="eastAsia"/>
          <w:vertAlign w:val="subscript"/>
        </w:rPr>
        <w:t>2</w:t>
      </w:r>
      <w:r>
        <w:rPr>
          <w:rFonts w:hint="eastAsia"/>
        </w:rPr>
        <w:t>当量）</w:t>
      </w:r>
    </w:p>
    <w:p w14:paraId="6DAC1ABD" w14:textId="77777777" w:rsidR="00787136" w:rsidRPr="00787136" w:rsidRDefault="00787136" w:rsidP="00787136"/>
    <w:p w14:paraId="7E8AAD8E" w14:textId="77777777" w:rsidR="003750D2" w:rsidRPr="00321A66" w:rsidRDefault="005730DF" w:rsidP="00321A66">
      <w:pPr>
        <w:spacing w:line="360" w:lineRule="auto"/>
        <w:ind w:firstLine="480"/>
        <w:rPr>
          <w:sz w:val="24"/>
        </w:rPr>
      </w:pPr>
      <w:r>
        <w:rPr>
          <w:rFonts w:asciiTheme="minorEastAsia" w:hAnsiTheme="minorEastAsia" w:hint="eastAsia"/>
          <w:sz w:val="24"/>
        </w:rPr>
        <w:t>由排放结果图2可知，煤炭供应行业碳排放于2013年达峰，</w:t>
      </w:r>
      <w:r>
        <w:rPr>
          <w:rFonts w:hint="eastAsia"/>
          <w:sz w:val="24"/>
        </w:rPr>
        <w:t>峰值约为</w:t>
      </w:r>
      <w:r>
        <w:rPr>
          <w:rFonts w:hint="eastAsia"/>
          <w:sz w:val="24"/>
        </w:rPr>
        <w:t>7.9</w:t>
      </w:r>
      <w:r>
        <w:rPr>
          <w:rFonts w:hint="eastAsia"/>
          <w:sz w:val="24"/>
        </w:rPr>
        <w:t>亿吨</w:t>
      </w:r>
      <w:r>
        <w:rPr>
          <w:rFonts w:hint="eastAsia"/>
          <w:sz w:val="24"/>
        </w:rPr>
        <w:t>CO</w:t>
      </w:r>
      <w:r w:rsidRPr="00DA7100">
        <w:rPr>
          <w:rFonts w:hint="eastAsia"/>
          <w:sz w:val="24"/>
          <w:vertAlign w:val="subscript"/>
        </w:rPr>
        <w:t>2</w:t>
      </w:r>
      <w:r>
        <w:rPr>
          <w:rFonts w:hint="eastAsia"/>
          <w:sz w:val="24"/>
        </w:rPr>
        <w:t>当量，其中直接排放</w:t>
      </w:r>
      <w:r>
        <w:rPr>
          <w:rFonts w:hint="eastAsia"/>
          <w:sz w:val="24"/>
        </w:rPr>
        <w:t>6.81</w:t>
      </w:r>
      <w:r>
        <w:rPr>
          <w:rFonts w:hint="eastAsia"/>
          <w:sz w:val="24"/>
        </w:rPr>
        <w:t>亿吨</w:t>
      </w:r>
      <w:r w:rsidR="00DF4D9A">
        <w:rPr>
          <w:rFonts w:hint="eastAsia"/>
          <w:sz w:val="24"/>
        </w:rPr>
        <w:t>CO</w:t>
      </w:r>
      <w:r w:rsidR="00DF4D9A" w:rsidRPr="00DA7100">
        <w:rPr>
          <w:rFonts w:hint="eastAsia"/>
          <w:sz w:val="24"/>
          <w:vertAlign w:val="subscript"/>
        </w:rPr>
        <w:t>2</w:t>
      </w:r>
      <w:r w:rsidR="00DF4D9A">
        <w:rPr>
          <w:rFonts w:hint="eastAsia"/>
          <w:sz w:val="24"/>
        </w:rPr>
        <w:t>当量</w:t>
      </w:r>
      <w:r>
        <w:rPr>
          <w:rFonts w:hint="eastAsia"/>
          <w:sz w:val="24"/>
        </w:rPr>
        <w:t>左右，间接排放</w:t>
      </w:r>
      <w:r>
        <w:rPr>
          <w:rFonts w:hint="eastAsia"/>
          <w:sz w:val="24"/>
        </w:rPr>
        <w:t>1.09</w:t>
      </w:r>
      <w:r>
        <w:rPr>
          <w:rFonts w:hint="eastAsia"/>
          <w:sz w:val="24"/>
        </w:rPr>
        <w:t>亿吨</w:t>
      </w:r>
      <w:r w:rsidR="00DF4D9A">
        <w:rPr>
          <w:rFonts w:hint="eastAsia"/>
          <w:sz w:val="24"/>
        </w:rPr>
        <w:t>CO</w:t>
      </w:r>
      <w:r w:rsidR="00DF4D9A" w:rsidRPr="00DA7100">
        <w:rPr>
          <w:rFonts w:hint="eastAsia"/>
          <w:sz w:val="24"/>
          <w:vertAlign w:val="subscript"/>
        </w:rPr>
        <w:t>2</w:t>
      </w:r>
      <w:r w:rsidR="00DF4D9A">
        <w:rPr>
          <w:rFonts w:hint="eastAsia"/>
          <w:sz w:val="24"/>
        </w:rPr>
        <w:t>当量</w:t>
      </w:r>
      <w:r>
        <w:rPr>
          <w:rFonts w:hint="eastAsia"/>
          <w:sz w:val="24"/>
        </w:rPr>
        <w:t>左右。</w:t>
      </w:r>
      <w:r w:rsidR="0052171C">
        <w:rPr>
          <w:rFonts w:hint="eastAsia"/>
          <w:sz w:val="24"/>
        </w:rPr>
        <w:t>比较情景下，煤炭行业排放自</w:t>
      </w:r>
      <w:r w:rsidR="0052171C">
        <w:rPr>
          <w:rFonts w:hint="eastAsia"/>
          <w:sz w:val="24"/>
        </w:rPr>
        <w:t>2013</w:t>
      </w:r>
      <w:r w:rsidR="0052171C">
        <w:rPr>
          <w:rFonts w:hint="eastAsia"/>
          <w:sz w:val="24"/>
        </w:rPr>
        <w:t>年达峰后总体上长期处于下降趋势，</w:t>
      </w:r>
      <w:r w:rsidR="00321A66">
        <w:rPr>
          <w:rFonts w:hint="eastAsia"/>
          <w:sz w:val="24"/>
        </w:rPr>
        <w:t>由于能源结构快速转型、能效提高、采选技术变革、煤矿瓦斯抽用技术</w:t>
      </w:r>
      <w:r w:rsidR="00884121">
        <w:rPr>
          <w:rFonts w:hint="eastAsia"/>
          <w:sz w:val="24"/>
        </w:rPr>
        <w:t>的</w:t>
      </w:r>
      <w:r w:rsidR="00321A66">
        <w:rPr>
          <w:rFonts w:hint="eastAsia"/>
          <w:sz w:val="24"/>
        </w:rPr>
        <w:t>发展、经济中高速发展以及低碳减排政策等因素，煤炭供应行业温室气体排放量快速下降，</w:t>
      </w:r>
      <w:r w:rsidR="00321A66">
        <w:rPr>
          <w:rFonts w:hint="eastAsia"/>
          <w:sz w:val="24"/>
        </w:rPr>
        <w:t>2020</w:t>
      </w:r>
      <w:r w:rsidR="00321A66">
        <w:rPr>
          <w:rFonts w:hint="eastAsia"/>
          <w:sz w:val="24"/>
        </w:rPr>
        <w:t>年总排放降至</w:t>
      </w:r>
      <w:r w:rsidR="00321A66">
        <w:rPr>
          <w:rFonts w:hint="eastAsia"/>
          <w:sz w:val="24"/>
        </w:rPr>
        <w:t>6.49</w:t>
      </w:r>
      <w:r w:rsidR="00321A66">
        <w:rPr>
          <w:rFonts w:hint="eastAsia"/>
          <w:sz w:val="24"/>
        </w:rPr>
        <w:t>亿吨左右，其中直接排放</w:t>
      </w:r>
      <w:r w:rsidR="00321A66">
        <w:rPr>
          <w:rFonts w:hint="eastAsia"/>
          <w:sz w:val="24"/>
        </w:rPr>
        <w:t>5.50</w:t>
      </w:r>
      <w:r w:rsidR="00321A66">
        <w:rPr>
          <w:rFonts w:hint="eastAsia"/>
          <w:sz w:val="24"/>
        </w:rPr>
        <w:t>亿吨左右，间接排放</w:t>
      </w:r>
      <w:r w:rsidR="00321A66">
        <w:rPr>
          <w:rFonts w:hint="eastAsia"/>
          <w:sz w:val="24"/>
        </w:rPr>
        <w:t>0.99</w:t>
      </w:r>
      <w:r w:rsidR="00321A66">
        <w:rPr>
          <w:rFonts w:hint="eastAsia"/>
          <w:sz w:val="24"/>
        </w:rPr>
        <w:t>亿吨左右；</w:t>
      </w:r>
      <w:r w:rsidR="00321A66">
        <w:rPr>
          <w:rFonts w:hint="eastAsia"/>
          <w:sz w:val="24"/>
        </w:rPr>
        <w:t>2025</w:t>
      </w:r>
      <w:r w:rsidR="00321A66">
        <w:rPr>
          <w:rFonts w:hint="eastAsia"/>
          <w:sz w:val="24"/>
        </w:rPr>
        <w:t>年总排放</w:t>
      </w:r>
      <w:r w:rsidR="00321A66">
        <w:rPr>
          <w:rFonts w:hint="eastAsia"/>
          <w:sz w:val="24"/>
        </w:rPr>
        <w:t>5.26</w:t>
      </w:r>
      <w:r w:rsidR="00321A66">
        <w:rPr>
          <w:rFonts w:hint="eastAsia"/>
          <w:sz w:val="24"/>
        </w:rPr>
        <w:t>亿吨左右，其中直接排放</w:t>
      </w:r>
      <w:r w:rsidR="00321A66">
        <w:rPr>
          <w:rFonts w:hint="eastAsia"/>
          <w:sz w:val="24"/>
        </w:rPr>
        <w:t>4.39</w:t>
      </w:r>
      <w:r w:rsidR="00321A66">
        <w:rPr>
          <w:rFonts w:hint="eastAsia"/>
          <w:sz w:val="24"/>
        </w:rPr>
        <w:t>亿吨左右，间接排放</w:t>
      </w:r>
      <w:r w:rsidR="00321A66">
        <w:rPr>
          <w:rFonts w:hint="eastAsia"/>
          <w:sz w:val="24"/>
        </w:rPr>
        <w:t>0.87</w:t>
      </w:r>
      <w:r w:rsidR="00321A66">
        <w:rPr>
          <w:rFonts w:hint="eastAsia"/>
          <w:sz w:val="24"/>
        </w:rPr>
        <w:t>亿吨左右；</w:t>
      </w:r>
      <w:r w:rsidR="00321A66">
        <w:rPr>
          <w:rFonts w:hint="eastAsia"/>
          <w:sz w:val="24"/>
        </w:rPr>
        <w:t>2030</w:t>
      </w:r>
      <w:r w:rsidR="00321A66">
        <w:rPr>
          <w:rFonts w:hint="eastAsia"/>
          <w:sz w:val="24"/>
        </w:rPr>
        <w:t>年总排放</w:t>
      </w:r>
      <w:r w:rsidR="00321A66">
        <w:rPr>
          <w:rFonts w:hint="eastAsia"/>
          <w:sz w:val="24"/>
        </w:rPr>
        <w:t>4.45</w:t>
      </w:r>
      <w:r w:rsidR="00321A66">
        <w:rPr>
          <w:rFonts w:hint="eastAsia"/>
          <w:sz w:val="24"/>
        </w:rPr>
        <w:t>亿吨左右，其中直接排放</w:t>
      </w:r>
      <w:r w:rsidR="00F37738">
        <w:rPr>
          <w:rFonts w:hint="eastAsia"/>
          <w:sz w:val="24"/>
        </w:rPr>
        <w:t>3.69</w:t>
      </w:r>
      <w:r w:rsidR="00F37738">
        <w:rPr>
          <w:rFonts w:hint="eastAsia"/>
          <w:sz w:val="24"/>
        </w:rPr>
        <w:t>亿吨左右，间接排放</w:t>
      </w:r>
      <w:r w:rsidR="00F37738">
        <w:rPr>
          <w:rFonts w:hint="eastAsia"/>
          <w:sz w:val="24"/>
        </w:rPr>
        <w:t>0.76</w:t>
      </w:r>
      <w:r w:rsidR="00F37738">
        <w:rPr>
          <w:rFonts w:hint="eastAsia"/>
          <w:sz w:val="24"/>
        </w:rPr>
        <w:t>亿吨左右。</w:t>
      </w:r>
    </w:p>
    <w:p w14:paraId="29312C2E" w14:textId="77777777" w:rsidR="0052171C" w:rsidRPr="00A236AF" w:rsidRDefault="0052171C" w:rsidP="0077761F">
      <w:pPr>
        <w:rPr>
          <w:sz w:val="24"/>
        </w:rPr>
      </w:pPr>
    </w:p>
    <w:sectPr w:rsidR="0052171C" w:rsidRPr="00A236AF" w:rsidSect="00AF6227">
      <w:footerReference w:type="default" r:id="rId16"/>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FE68F" w14:textId="77777777" w:rsidR="00B91CAD" w:rsidRDefault="00B91CAD" w:rsidP="002D24D9">
      <w:r>
        <w:separator/>
      </w:r>
    </w:p>
  </w:endnote>
  <w:endnote w:type="continuationSeparator" w:id="0">
    <w:p w14:paraId="2CA1FFEE" w14:textId="77777777" w:rsidR="00B91CAD" w:rsidRDefault="00B91CAD" w:rsidP="002D2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Songti SC">
    <w:panose1 w:val="02010600040101010101"/>
    <w:charset w:val="86"/>
    <w:family w:val="auto"/>
    <w:pitch w:val="variable"/>
    <w:sig w:usb0="00000287" w:usb1="080F0000" w:usb2="00000010" w:usb3="00000000" w:csb0="0004009F" w:csb1="00000000"/>
  </w:font>
  <w:font w:name="times">
    <w:altName w:val="Segoe Print"/>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887956"/>
      <w:docPartObj>
        <w:docPartGallery w:val="Page Numbers (Bottom of Page)"/>
        <w:docPartUnique/>
      </w:docPartObj>
    </w:sdtPr>
    <w:sdtEndPr>
      <w:rPr>
        <w:noProof/>
      </w:rPr>
    </w:sdtEndPr>
    <w:sdtContent>
      <w:p w14:paraId="704F3742" w14:textId="77777777" w:rsidR="00191FE3" w:rsidRDefault="00191FE3">
        <w:pPr>
          <w:pStyle w:val="a5"/>
          <w:jc w:val="center"/>
        </w:pPr>
        <w:r>
          <w:fldChar w:fldCharType="begin"/>
        </w:r>
        <w:r>
          <w:instrText xml:space="preserve"> PAGE   \* MERGEFORMAT </w:instrText>
        </w:r>
        <w:r>
          <w:fldChar w:fldCharType="separate"/>
        </w:r>
        <w:r w:rsidR="00FE5718">
          <w:rPr>
            <w:noProof/>
          </w:rPr>
          <w:t>0</w:t>
        </w:r>
        <w:r>
          <w:rPr>
            <w:noProof/>
          </w:rPr>
          <w:fldChar w:fldCharType="end"/>
        </w:r>
      </w:p>
    </w:sdtContent>
  </w:sdt>
  <w:p w14:paraId="2A07CA80" w14:textId="77777777" w:rsidR="00191FE3" w:rsidRDefault="00191FE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2740A" w14:textId="77777777" w:rsidR="00191FE3" w:rsidRDefault="00191FE3">
    <w:pPr>
      <w:pStyle w:val="a5"/>
      <w:spacing w:before="120"/>
      <w:ind w:firstLine="880"/>
      <w:jc w:val="center"/>
    </w:pPr>
  </w:p>
  <w:p w14:paraId="499A796D" w14:textId="77777777" w:rsidR="00191FE3" w:rsidRDefault="00191FE3">
    <w:pPr>
      <w:pStyle w:val="a5"/>
      <w:spacing w:before="120"/>
      <w:ind w:firstLine="8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290"/>
      <w:docPartObj>
        <w:docPartGallery w:val="Page Numbers (Bottom of Page)"/>
        <w:docPartUnique/>
      </w:docPartObj>
    </w:sdtPr>
    <w:sdtContent>
      <w:p w14:paraId="66300FC8" w14:textId="77777777" w:rsidR="00FA4AAD" w:rsidRDefault="00592C68">
        <w:pPr>
          <w:pStyle w:val="a5"/>
          <w:jc w:val="center"/>
        </w:pPr>
        <w:r>
          <w:fldChar w:fldCharType="begin"/>
        </w:r>
        <w:r>
          <w:instrText xml:space="preserve"> PAGE   \* MERGEFORMAT </w:instrText>
        </w:r>
        <w:r>
          <w:fldChar w:fldCharType="separate"/>
        </w:r>
        <w:r w:rsidR="00FE5718" w:rsidRPr="00FE5718">
          <w:rPr>
            <w:noProof/>
            <w:lang w:val="zh-CN"/>
          </w:rPr>
          <w:t>2</w:t>
        </w:r>
        <w:r>
          <w:rPr>
            <w:noProof/>
            <w:lang w:val="zh-CN"/>
          </w:rPr>
          <w:fldChar w:fldCharType="end"/>
        </w:r>
      </w:p>
    </w:sdtContent>
  </w:sdt>
  <w:p w14:paraId="5CDA4C03" w14:textId="77777777" w:rsidR="00FA4AAD" w:rsidRDefault="00FA4A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22FC4" w14:textId="77777777" w:rsidR="00B91CAD" w:rsidRDefault="00B91CAD" w:rsidP="002D24D9">
      <w:r>
        <w:separator/>
      </w:r>
    </w:p>
  </w:footnote>
  <w:footnote w:type="continuationSeparator" w:id="0">
    <w:p w14:paraId="54DD30C0" w14:textId="77777777" w:rsidR="00B91CAD" w:rsidRDefault="00B91CAD" w:rsidP="002D24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76D4F"/>
    <w:multiLevelType w:val="hybridMultilevel"/>
    <w:tmpl w:val="767623A8"/>
    <w:lvl w:ilvl="0" w:tplc="92A8CB1A">
      <w:start w:val="1"/>
      <w:numFmt w:val="decimal"/>
      <w:lvlText w:val="（%1）"/>
      <w:lvlJc w:val="left"/>
      <w:pPr>
        <w:ind w:left="960" w:hanging="480"/>
      </w:pPr>
      <w:rPr>
        <w:rFonts w:hint="default"/>
      </w:rPr>
    </w:lvl>
    <w:lvl w:ilvl="1" w:tplc="04090019" w:tentative="1">
      <w:start w:val="1"/>
      <w:numFmt w:val="lowerLetter"/>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lowerLetter"/>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lowerLetter"/>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D6C0789"/>
    <w:multiLevelType w:val="hybridMultilevel"/>
    <w:tmpl w:val="BCB4C826"/>
    <w:lvl w:ilvl="0" w:tplc="0409000F">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8D036B"/>
    <w:multiLevelType w:val="hybridMultilevel"/>
    <w:tmpl w:val="A3A6A092"/>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num w:numId="1" w16cid:durableId="172308236">
    <w:abstractNumId w:val="1"/>
  </w:num>
  <w:num w:numId="2" w16cid:durableId="1295213562">
    <w:abstractNumId w:val="2"/>
  </w:num>
  <w:num w:numId="3" w16cid:durableId="673729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24D9"/>
    <w:rsid w:val="0001472C"/>
    <w:rsid w:val="00014739"/>
    <w:rsid w:val="00080F4F"/>
    <w:rsid w:val="000F745E"/>
    <w:rsid w:val="00117E43"/>
    <w:rsid w:val="001267D2"/>
    <w:rsid w:val="0014070C"/>
    <w:rsid w:val="00183B88"/>
    <w:rsid w:val="00191FE3"/>
    <w:rsid w:val="001B68A6"/>
    <w:rsid w:val="001B7F02"/>
    <w:rsid w:val="001C0878"/>
    <w:rsid w:val="001E57A5"/>
    <w:rsid w:val="001F3E64"/>
    <w:rsid w:val="001F583C"/>
    <w:rsid w:val="00214EDC"/>
    <w:rsid w:val="00215611"/>
    <w:rsid w:val="00226460"/>
    <w:rsid w:val="002320B0"/>
    <w:rsid w:val="00246C85"/>
    <w:rsid w:val="00255224"/>
    <w:rsid w:val="00277E27"/>
    <w:rsid w:val="002B4AF8"/>
    <w:rsid w:val="002C1B04"/>
    <w:rsid w:val="002D24D9"/>
    <w:rsid w:val="002D4AED"/>
    <w:rsid w:val="00320ABD"/>
    <w:rsid w:val="00321A66"/>
    <w:rsid w:val="00327A1A"/>
    <w:rsid w:val="00345E52"/>
    <w:rsid w:val="00362537"/>
    <w:rsid w:val="003721A2"/>
    <w:rsid w:val="0037268C"/>
    <w:rsid w:val="003750D2"/>
    <w:rsid w:val="00381665"/>
    <w:rsid w:val="00390C54"/>
    <w:rsid w:val="0039194F"/>
    <w:rsid w:val="003A46B8"/>
    <w:rsid w:val="003A6EFA"/>
    <w:rsid w:val="003E7212"/>
    <w:rsid w:val="003E7522"/>
    <w:rsid w:val="003F5B09"/>
    <w:rsid w:val="003F63FE"/>
    <w:rsid w:val="00400132"/>
    <w:rsid w:val="00401A74"/>
    <w:rsid w:val="00410C03"/>
    <w:rsid w:val="004122D5"/>
    <w:rsid w:val="00436D72"/>
    <w:rsid w:val="00461C65"/>
    <w:rsid w:val="0048082E"/>
    <w:rsid w:val="00484FA3"/>
    <w:rsid w:val="004A78FA"/>
    <w:rsid w:val="004C0D81"/>
    <w:rsid w:val="004C1593"/>
    <w:rsid w:val="004D048B"/>
    <w:rsid w:val="004D68BE"/>
    <w:rsid w:val="004E704F"/>
    <w:rsid w:val="004F4CA0"/>
    <w:rsid w:val="0052171C"/>
    <w:rsid w:val="005369EC"/>
    <w:rsid w:val="005434C1"/>
    <w:rsid w:val="005730DF"/>
    <w:rsid w:val="00585BF6"/>
    <w:rsid w:val="00592C68"/>
    <w:rsid w:val="005A55BA"/>
    <w:rsid w:val="005B15D7"/>
    <w:rsid w:val="005C1045"/>
    <w:rsid w:val="005C23D5"/>
    <w:rsid w:val="005D1761"/>
    <w:rsid w:val="005E2729"/>
    <w:rsid w:val="00604187"/>
    <w:rsid w:val="006109C6"/>
    <w:rsid w:val="00671B24"/>
    <w:rsid w:val="0067721E"/>
    <w:rsid w:val="00685757"/>
    <w:rsid w:val="00686567"/>
    <w:rsid w:val="00693157"/>
    <w:rsid w:val="006954F5"/>
    <w:rsid w:val="006E3325"/>
    <w:rsid w:val="00715395"/>
    <w:rsid w:val="00717D6E"/>
    <w:rsid w:val="007406B3"/>
    <w:rsid w:val="00751DCB"/>
    <w:rsid w:val="00762E47"/>
    <w:rsid w:val="0077761F"/>
    <w:rsid w:val="00785C12"/>
    <w:rsid w:val="00787136"/>
    <w:rsid w:val="007A2815"/>
    <w:rsid w:val="007A7EAF"/>
    <w:rsid w:val="007B3188"/>
    <w:rsid w:val="007D7EB5"/>
    <w:rsid w:val="007E49DA"/>
    <w:rsid w:val="00813707"/>
    <w:rsid w:val="00884121"/>
    <w:rsid w:val="008A33A6"/>
    <w:rsid w:val="008A6AC7"/>
    <w:rsid w:val="008B0476"/>
    <w:rsid w:val="008C1A0B"/>
    <w:rsid w:val="008D72A9"/>
    <w:rsid w:val="008E2010"/>
    <w:rsid w:val="008F04FF"/>
    <w:rsid w:val="0090325D"/>
    <w:rsid w:val="00903419"/>
    <w:rsid w:val="00921C2F"/>
    <w:rsid w:val="00925D59"/>
    <w:rsid w:val="0094578E"/>
    <w:rsid w:val="0095233F"/>
    <w:rsid w:val="0096283B"/>
    <w:rsid w:val="00970239"/>
    <w:rsid w:val="00985406"/>
    <w:rsid w:val="009C1F31"/>
    <w:rsid w:val="009D0DE4"/>
    <w:rsid w:val="009E295B"/>
    <w:rsid w:val="009E36DE"/>
    <w:rsid w:val="009F1C11"/>
    <w:rsid w:val="00A02F59"/>
    <w:rsid w:val="00A13357"/>
    <w:rsid w:val="00A236AF"/>
    <w:rsid w:val="00A82C32"/>
    <w:rsid w:val="00A93E1D"/>
    <w:rsid w:val="00AB334C"/>
    <w:rsid w:val="00AD6C3B"/>
    <w:rsid w:val="00AD6D8D"/>
    <w:rsid w:val="00AD7D92"/>
    <w:rsid w:val="00AF6227"/>
    <w:rsid w:val="00B05DDF"/>
    <w:rsid w:val="00B07F08"/>
    <w:rsid w:val="00B24F43"/>
    <w:rsid w:val="00B4670D"/>
    <w:rsid w:val="00B65BEE"/>
    <w:rsid w:val="00B70BD3"/>
    <w:rsid w:val="00B830F0"/>
    <w:rsid w:val="00B91CAD"/>
    <w:rsid w:val="00BB0261"/>
    <w:rsid w:val="00BB1599"/>
    <w:rsid w:val="00BC2882"/>
    <w:rsid w:val="00BC7F0E"/>
    <w:rsid w:val="00BE795E"/>
    <w:rsid w:val="00BF27CC"/>
    <w:rsid w:val="00C00428"/>
    <w:rsid w:val="00C02523"/>
    <w:rsid w:val="00C03725"/>
    <w:rsid w:val="00C05226"/>
    <w:rsid w:val="00C2185A"/>
    <w:rsid w:val="00C22C57"/>
    <w:rsid w:val="00C519C3"/>
    <w:rsid w:val="00C53C39"/>
    <w:rsid w:val="00C5739B"/>
    <w:rsid w:val="00C624F2"/>
    <w:rsid w:val="00C8293E"/>
    <w:rsid w:val="00C94161"/>
    <w:rsid w:val="00C95945"/>
    <w:rsid w:val="00CA397D"/>
    <w:rsid w:val="00CA4F8E"/>
    <w:rsid w:val="00CC39F8"/>
    <w:rsid w:val="00CD1B01"/>
    <w:rsid w:val="00CF56FF"/>
    <w:rsid w:val="00D0072F"/>
    <w:rsid w:val="00D16A4A"/>
    <w:rsid w:val="00D219D7"/>
    <w:rsid w:val="00D3509E"/>
    <w:rsid w:val="00DA7100"/>
    <w:rsid w:val="00DB2972"/>
    <w:rsid w:val="00DC53ED"/>
    <w:rsid w:val="00DE6C33"/>
    <w:rsid w:val="00DE75C2"/>
    <w:rsid w:val="00DF1D56"/>
    <w:rsid w:val="00DF4D9A"/>
    <w:rsid w:val="00E11B81"/>
    <w:rsid w:val="00E24AF6"/>
    <w:rsid w:val="00E43B33"/>
    <w:rsid w:val="00E43FC8"/>
    <w:rsid w:val="00E66E79"/>
    <w:rsid w:val="00E80E03"/>
    <w:rsid w:val="00E846CE"/>
    <w:rsid w:val="00E84B7E"/>
    <w:rsid w:val="00E95A71"/>
    <w:rsid w:val="00EB5006"/>
    <w:rsid w:val="00EB5DE1"/>
    <w:rsid w:val="00EE5D8A"/>
    <w:rsid w:val="00F11C5B"/>
    <w:rsid w:val="00F12526"/>
    <w:rsid w:val="00F125C4"/>
    <w:rsid w:val="00F37738"/>
    <w:rsid w:val="00F42FF5"/>
    <w:rsid w:val="00F528FB"/>
    <w:rsid w:val="00F560E9"/>
    <w:rsid w:val="00F72F4F"/>
    <w:rsid w:val="00F8286E"/>
    <w:rsid w:val="00FA00DB"/>
    <w:rsid w:val="00FA4AAD"/>
    <w:rsid w:val="00FB41DC"/>
    <w:rsid w:val="00FC4091"/>
    <w:rsid w:val="00FE5718"/>
    <w:rsid w:val="00FF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1FE921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6227"/>
    <w:pPr>
      <w:widowControl w:val="0"/>
      <w:jc w:val="both"/>
    </w:pPr>
  </w:style>
  <w:style w:type="paragraph" w:styleId="1">
    <w:name w:val="heading 1"/>
    <w:basedOn w:val="a"/>
    <w:next w:val="a"/>
    <w:link w:val="10"/>
    <w:uiPriority w:val="9"/>
    <w:qFormat/>
    <w:rsid w:val="004E704F"/>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4E704F"/>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4E704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4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24D9"/>
    <w:rPr>
      <w:sz w:val="18"/>
      <w:szCs w:val="18"/>
    </w:rPr>
  </w:style>
  <w:style w:type="paragraph" w:styleId="a5">
    <w:name w:val="footer"/>
    <w:basedOn w:val="a"/>
    <w:link w:val="a6"/>
    <w:uiPriority w:val="99"/>
    <w:unhideWhenUsed/>
    <w:rsid w:val="002D24D9"/>
    <w:pPr>
      <w:tabs>
        <w:tab w:val="center" w:pos="4153"/>
        <w:tab w:val="right" w:pos="8306"/>
      </w:tabs>
      <w:snapToGrid w:val="0"/>
      <w:jc w:val="left"/>
    </w:pPr>
    <w:rPr>
      <w:sz w:val="18"/>
      <w:szCs w:val="18"/>
    </w:rPr>
  </w:style>
  <w:style w:type="character" w:customStyle="1" w:styleId="a6">
    <w:name w:val="页脚 字符"/>
    <w:basedOn w:val="a0"/>
    <w:link w:val="a5"/>
    <w:uiPriority w:val="99"/>
    <w:rsid w:val="002D24D9"/>
    <w:rPr>
      <w:sz w:val="18"/>
      <w:szCs w:val="18"/>
    </w:rPr>
  </w:style>
  <w:style w:type="paragraph" w:styleId="a7">
    <w:name w:val="Balloon Text"/>
    <w:basedOn w:val="a"/>
    <w:link w:val="a8"/>
    <w:uiPriority w:val="99"/>
    <w:semiHidden/>
    <w:unhideWhenUsed/>
    <w:rsid w:val="00C8293E"/>
    <w:rPr>
      <w:sz w:val="18"/>
      <w:szCs w:val="18"/>
    </w:rPr>
  </w:style>
  <w:style w:type="character" w:customStyle="1" w:styleId="a8">
    <w:name w:val="批注框文本 字符"/>
    <w:basedOn w:val="a0"/>
    <w:link w:val="a7"/>
    <w:uiPriority w:val="99"/>
    <w:semiHidden/>
    <w:rsid w:val="00C8293E"/>
    <w:rPr>
      <w:sz w:val="18"/>
      <w:szCs w:val="18"/>
    </w:rPr>
  </w:style>
  <w:style w:type="character" w:styleId="a9">
    <w:name w:val="Hyperlink"/>
    <w:basedOn w:val="a0"/>
    <w:uiPriority w:val="99"/>
    <w:semiHidden/>
    <w:unhideWhenUsed/>
    <w:rsid w:val="00215611"/>
    <w:rPr>
      <w:color w:val="0000FF"/>
      <w:u w:val="single"/>
    </w:rPr>
  </w:style>
  <w:style w:type="character" w:styleId="aa">
    <w:name w:val="FollowedHyperlink"/>
    <w:basedOn w:val="a0"/>
    <w:uiPriority w:val="99"/>
    <w:semiHidden/>
    <w:unhideWhenUsed/>
    <w:rsid w:val="00215611"/>
    <w:rPr>
      <w:color w:val="800080"/>
      <w:u w:val="single"/>
    </w:rPr>
  </w:style>
  <w:style w:type="paragraph" w:styleId="ab">
    <w:name w:val="caption"/>
    <w:basedOn w:val="a"/>
    <w:next w:val="a"/>
    <w:uiPriority w:val="35"/>
    <w:unhideWhenUsed/>
    <w:qFormat/>
    <w:rsid w:val="00D16A4A"/>
    <w:rPr>
      <w:rFonts w:asciiTheme="majorHAnsi" w:eastAsia="黑体" w:hAnsiTheme="majorHAnsi" w:cstheme="majorBidi"/>
      <w:sz w:val="20"/>
      <w:szCs w:val="20"/>
    </w:rPr>
  </w:style>
  <w:style w:type="paragraph" w:customStyle="1" w:styleId="xl63">
    <w:name w:val="xl63"/>
    <w:basedOn w:val="a"/>
    <w:rsid w:val="00E846CE"/>
    <w:pPr>
      <w:widowControl/>
      <w:spacing w:before="100" w:beforeAutospacing="1" w:after="100" w:afterAutospacing="1"/>
      <w:jc w:val="right"/>
    </w:pPr>
    <w:rPr>
      <w:rFonts w:ascii="宋体" w:eastAsia="宋体" w:hAnsi="宋体" w:cs="宋体"/>
      <w:kern w:val="0"/>
      <w:sz w:val="24"/>
      <w:szCs w:val="24"/>
    </w:rPr>
  </w:style>
  <w:style w:type="character" w:customStyle="1" w:styleId="20">
    <w:name w:val="标题 2 字符"/>
    <w:basedOn w:val="a0"/>
    <w:link w:val="2"/>
    <w:uiPriority w:val="9"/>
    <w:rsid w:val="004E704F"/>
    <w:rPr>
      <w:rFonts w:asciiTheme="majorHAnsi" w:eastAsiaTheme="majorEastAsia" w:hAnsiTheme="majorHAnsi" w:cstheme="majorBidi"/>
      <w:b/>
      <w:bCs/>
      <w:sz w:val="32"/>
      <w:szCs w:val="32"/>
    </w:rPr>
  </w:style>
  <w:style w:type="character" w:customStyle="1" w:styleId="30">
    <w:name w:val="标题 3 字符"/>
    <w:basedOn w:val="a0"/>
    <w:link w:val="3"/>
    <w:uiPriority w:val="9"/>
    <w:rsid w:val="004E704F"/>
    <w:rPr>
      <w:b/>
      <w:bCs/>
      <w:sz w:val="32"/>
      <w:szCs w:val="32"/>
    </w:rPr>
  </w:style>
  <w:style w:type="character" w:customStyle="1" w:styleId="10">
    <w:name w:val="标题 1 字符"/>
    <w:basedOn w:val="a0"/>
    <w:link w:val="1"/>
    <w:uiPriority w:val="9"/>
    <w:rsid w:val="004E704F"/>
    <w:rPr>
      <w:b/>
      <w:bCs/>
      <w:kern w:val="44"/>
      <w:sz w:val="44"/>
      <w:szCs w:val="44"/>
    </w:rPr>
  </w:style>
  <w:style w:type="character" w:customStyle="1" w:styleId="CUChar">
    <w:name w:val="CU封面小字 Char"/>
    <w:link w:val="CU"/>
    <w:locked/>
    <w:rsid w:val="00FA4AAD"/>
    <w:rPr>
      <w:rFonts w:ascii="宋体" w:eastAsia="宋体" w:hAnsi="宋体" w:cs="Times New Roman"/>
      <w:b/>
      <w:kern w:val="0"/>
      <w:sz w:val="44"/>
      <w:szCs w:val="44"/>
    </w:rPr>
  </w:style>
  <w:style w:type="paragraph" w:customStyle="1" w:styleId="CU">
    <w:name w:val="CU封面小字"/>
    <w:basedOn w:val="a"/>
    <w:link w:val="CUChar"/>
    <w:autoRedefine/>
    <w:qFormat/>
    <w:rsid w:val="00FA4AAD"/>
    <w:pPr>
      <w:tabs>
        <w:tab w:val="left" w:pos="709"/>
        <w:tab w:val="right" w:pos="5529"/>
      </w:tabs>
      <w:spacing w:beforeLines="50" w:line="400" w:lineRule="exact"/>
      <w:ind w:firstLineChars="200" w:firstLine="883"/>
      <w:jc w:val="center"/>
    </w:pPr>
    <w:rPr>
      <w:rFonts w:ascii="宋体" w:eastAsia="宋体" w:hAnsi="宋体" w:cs="Times New Roman"/>
      <w:b/>
      <w:kern w:val="0"/>
      <w:sz w:val="44"/>
      <w:szCs w:val="44"/>
    </w:rPr>
  </w:style>
  <w:style w:type="paragraph" w:styleId="ac">
    <w:name w:val="No Spacing"/>
    <w:link w:val="ad"/>
    <w:uiPriority w:val="1"/>
    <w:qFormat/>
    <w:rsid w:val="00FA4AAD"/>
    <w:rPr>
      <w:kern w:val="0"/>
      <w:sz w:val="22"/>
    </w:rPr>
  </w:style>
  <w:style w:type="character" w:customStyle="1" w:styleId="ad">
    <w:name w:val="无间隔 字符"/>
    <w:basedOn w:val="a0"/>
    <w:link w:val="ac"/>
    <w:uiPriority w:val="1"/>
    <w:rsid w:val="00FA4AAD"/>
    <w:rPr>
      <w:kern w:val="0"/>
      <w:sz w:val="22"/>
    </w:rPr>
  </w:style>
  <w:style w:type="paragraph" w:styleId="ae">
    <w:name w:val="List Paragraph"/>
    <w:basedOn w:val="a"/>
    <w:uiPriority w:val="34"/>
    <w:qFormat/>
    <w:rsid w:val="0014070C"/>
    <w:pPr>
      <w:ind w:firstLineChars="200" w:firstLine="420"/>
    </w:pPr>
  </w:style>
  <w:style w:type="paragraph" w:styleId="af">
    <w:name w:val="Plain Text"/>
    <w:basedOn w:val="a"/>
    <w:link w:val="af0"/>
    <w:uiPriority w:val="99"/>
    <w:rsid w:val="00191FE3"/>
    <w:rPr>
      <w:rFonts w:ascii="宋体" w:eastAsia="宋体" w:hAnsi="Courier New" w:cs="Courier New"/>
      <w:szCs w:val="21"/>
    </w:rPr>
  </w:style>
  <w:style w:type="character" w:customStyle="1" w:styleId="af0">
    <w:name w:val="纯文本 字符"/>
    <w:basedOn w:val="a0"/>
    <w:link w:val="af"/>
    <w:uiPriority w:val="99"/>
    <w:rsid w:val="00191FE3"/>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227">
      <w:bodyDiv w:val="1"/>
      <w:marLeft w:val="0"/>
      <w:marRight w:val="0"/>
      <w:marTop w:val="0"/>
      <w:marBottom w:val="0"/>
      <w:divBdr>
        <w:top w:val="none" w:sz="0" w:space="0" w:color="auto"/>
        <w:left w:val="none" w:sz="0" w:space="0" w:color="auto"/>
        <w:bottom w:val="none" w:sz="0" w:space="0" w:color="auto"/>
        <w:right w:val="none" w:sz="0" w:space="0" w:color="auto"/>
      </w:divBdr>
    </w:div>
    <w:div w:id="23673774">
      <w:bodyDiv w:val="1"/>
      <w:marLeft w:val="0"/>
      <w:marRight w:val="0"/>
      <w:marTop w:val="0"/>
      <w:marBottom w:val="0"/>
      <w:divBdr>
        <w:top w:val="none" w:sz="0" w:space="0" w:color="auto"/>
        <w:left w:val="none" w:sz="0" w:space="0" w:color="auto"/>
        <w:bottom w:val="none" w:sz="0" w:space="0" w:color="auto"/>
        <w:right w:val="none" w:sz="0" w:space="0" w:color="auto"/>
      </w:divBdr>
    </w:div>
    <w:div w:id="66928266">
      <w:bodyDiv w:val="1"/>
      <w:marLeft w:val="0"/>
      <w:marRight w:val="0"/>
      <w:marTop w:val="0"/>
      <w:marBottom w:val="0"/>
      <w:divBdr>
        <w:top w:val="none" w:sz="0" w:space="0" w:color="auto"/>
        <w:left w:val="none" w:sz="0" w:space="0" w:color="auto"/>
        <w:bottom w:val="none" w:sz="0" w:space="0" w:color="auto"/>
        <w:right w:val="none" w:sz="0" w:space="0" w:color="auto"/>
      </w:divBdr>
    </w:div>
    <w:div w:id="103237665">
      <w:bodyDiv w:val="1"/>
      <w:marLeft w:val="0"/>
      <w:marRight w:val="0"/>
      <w:marTop w:val="0"/>
      <w:marBottom w:val="0"/>
      <w:divBdr>
        <w:top w:val="none" w:sz="0" w:space="0" w:color="auto"/>
        <w:left w:val="none" w:sz="0" w:space="0" w:color="auto"/>
        <w:bottom w:val="none" w:sz="0" w:space="0" w:color="auto"/>
        <w:right w:val="none" w:sz="0" w:space="0" w:color="auto"/>
      </w:divBdr>
    </w:div>
    <w:div w:id="117603578">
      <w:bodyDiv w:val="1"/>
      <w:marLeft w:val="0"/>
      <w:marRight w:val="0"/>
      <w:marTop w:val="0"/>
      <w:marBottom w:val="0"/>
      <w:divBdr>
        <w:top w:val="none" w:sz="0" w:space="0" w:color="auto"/>
        <w:left w:val="none" w:sz="0" w:space="0" w:color="auto"/>
        <w:bottom w:val="none" w:sz="0" w:space="0" w:color="auto"/>
        <w:right w:val="none" w:sz="0" w:space="0" w:color="auto"/>
      </w:divBdr>
    </w:div>
    <w:div w:id="138961280">
      <w:bodyDiv w:val="1"/>
      <w:marLeft w:val="0"/>
      <w:marRight w:val="0"/>
      <w:marTop w:val="0"/>
      <w:marBottom w:val="0"/>
      <w:divBdr>
        <w:top w:val="none" w:sz="0" w:space="0" w:color="auto"/>
        <w:left w:val="none" w:sz="0" w:space="0" w:color="auto"/>
        <w:bottom w:val="none" w:sz="0" w:space="0" w:color="auto"/>
        <w:right w:val="none" w:sz="0" w:space="0" w:color="auto"/>
      </w:divBdr>
    </w:div>
    <w:div w:id="181474712">
      <w:bodyDiv w:val="1"/>
      <w:marLeft w:val="0"/>
      <w:marRight w:val="0"/>
      <w:marTop w:val="0"/>
      <w:marBottom w:val="0"/>
      <w:divBdr>
        <w:top w:val="none" w:sz="0" w:space="0" w:color="auto"/>
        <w:left w:val="none" w:sz="0" w:space="0" w:color="auto"/>
        <w:bottom w:val="none" w:sz="0" w:space="0" w:color="auto"/>
        <w:right w:val="none" w:sz="0" w:space="0" w:color="auto"/>
      </w:divBdr>
    </w:div>
    <w:div w:id="184095473">
      <w:bodyDiv w:val="1"/>
      <w:marLeft w:val="0"/>
      <w:marRight w:val="0"/>
      <w:marTop w:val="0"/>
      <w:marBottom w:val="0"/>
      <w:divBdr>
        <w:top w:val="none" w:sz="0" w:space="0" w:color="auto"/>
        <w:left w:val="none" w:sz="0" w:space="0" w:color="auto"/>
        <w:bottom w:val="none" w:sz="0" w:space="0" w:color="auto"/>
        <w:right w:val="none" w:sz="0" w:space="0" w:color="auto"/>
      </w:divBdr>
    </w:div>
    <w:div w:id="216671479">
      <w:bodyDiv w:val="1"/>
      <w:marLeft w:val="0"/>
      <w:marRight w:val="0"/>
      <w:marTop w:val="0"/>
      <w:marBottom w:val="0"/>
      <w:divBdr>
        <w:top w:val="none" w:sz="0" w:space="0" w:color="auto"/>
        <w:left w:val="none" w:sz="0" w:space="0" w:color="auto"/>
        <w:bottom w:val="none" w:sz="0" w:space="0" w:color="auto"/>
        <w:right w:val="none" w:sz="0" w:space="0" w:color="auto"/>
      </w:divBdr>
    </w:div>
    <w:div w:id="260721130">
      <w:bodyDiv w:val="1"/>
      <w:marLeft w:val="0"/>
      <w:marRight w:val="0"/>
      <w:marTop w:val="0"/>
      <w:marBottom w:val="0"/>
      <w:divBdr>
        <w:top w:val="none" w:sz="0" w:space="0" w:color="auto"/>
        <w:left w:val="none" w:sz="0" w:space="0" w:color="auto"/>
        <w:bottom w:val="none" w:sz="0" w:space="0" w:color="auto"/>
        <w:right w:val="none" w:sz="0" w:space="0" w:color="auto"/>
      </w:divBdr>
    </w:div>
    <w:div w:id="285281846">
      <w:bodyDiv w:val="1"/>
      <w:marLeft w:val="0"/>
      <w:marRight w:val="0"/>
      <w:marTop w:val="0"/>
      <w:marBottom w:val="0"/>
      <w:divBdr>
        <w:top w:val="none" w:sz="0" w:space="0" w:color="auto"/>
        <w:left w:val="none" w:sz="0" w:space="0" w:color="auto"/>
        <w:bottom w:val="none" w:sz="0" w:space="0" w:color="auto"/>
        <w:right w:val="none" w:sz="0" w:space="0" w:color="auto"/>
      </w:divBdr>
    </w:div>
    <w:div w:id="338969467">
      <w:bodyDiv w:val="1"/>
      <w:marLeft w:val="0"/>
      <w:marRight w:val="0"/>
      <w:marTop w:val="0"/>
      <w:marBottom w:val="0"/>
      <w:divBdr>
        <w:top w:val="none" w:sz="0" w:space="0" w:color="auto"/>
        <w:left w:val="none" w:sz="0" w:space="0" w:color="auto"/>
        <w:bottom w:val="none" w:sz="0" w:space="0" w:color="auto"/>
        <w:right w:val="none" w:sz="0" w:space="0" w:color="auto"/>
      </w:divBdr>
    </w:div>
    <w:div w:id="380138221">
      <w:bodyDiv w:val="1"/>
      <w:marLeft w:val="0"/>
      <w:marRight w:val="0"/>
      <w:marTop w:val="0"/>
      <w:marBottom w:val="0"/>
      <w:divBdr>
        <w:top w:val="none" w:sz="0" w:space="0" w:color="auto"/>
        <w:left w:val="none" w:sz="0" w:space="0" w:color="auto"/>
        <w:bottom w:val="none" w:sz="0" w:space="0" w:color="auto"/>
        <w:right w:val="none" w:sz="0" w:space="0" w:color="auto"/>
      </w:divBdr>
    </w:div>
    <w:div w:id="452678336">
      <w:bodyDiv w:val="1"/>
      <w:marLeft w:val="0"/>
      <w:marRight w:val="0"/>
      <w:marTop w:val="0"/>
      <w:marBottom w:val="0"/>
      <w:divBdr>
        <w:top w:val="none" w:sz="0" w:space="0" w:color="auto"/>
        <w:left w:val="none" w:sz="0" w:space="0" w:color="auto"/>
        <w:bottom w:val="none" w:sz="0" w:space="0" w:color="auto"/>
        <w:right w:val="none" w:sz="0" w:space="0" w:color="auto"/>
      </w:divBdr>
    </w:div>
    <w:div w:id="570430834">
      <w:bodyDiv w:val="1"/>
      <w:marLeft w:val="0"/>
      <w:marRight w:val="0"/>
      <w:marTop w:val="0"/>
      <w:marBottom w:val="0"/>
      <w:divBdr>
        <w:top w:val="none" w:sz="0" w:space="0" w:color="auto"/>
        <w:left w:val="none" w:sz="0" w:space="0" w:color="auto"/>
        <w:bottom w:val="none" w:sz="0" w:space="0" w:color="auto"/>
        <w:right w:val="none" w:sz="0" w:space="0" w:color="auto"/>
      </w:divBdr>
    </w:div>
    <w:div w:id="699091038">
      <w:bodyDiv w:val="1"/>
      <w:marLeft w:val="0"/>
      <w:marRight w:val="0"/>
      <w:marTop w:val="0"/>
      <w:marBottom w:val="0"/>
      <w:divBdr>
        <w:top w:val="none" w:sz="0" w:space="0" w:color="auto"/>
        <w:left w:val="none" w:sz="0" w:space="0" w:color="auto"/>
        <w:bottom w:val="none" w:sz="0" w:space="0" w:color="auto"/>
        <w:right w:val="none" w:sz="0" w:space="0" w:color="auto"/>
      </w:divBdr>
    </w:div>
    <w:div w:id="787045782">
      <w:bodyDiv w:val="1"/>
      <w:marLeft w:val="0"/>
      <w:marRight w:val="0"/>
      <w:marTop w:val="0"/>
      <w:marBottom w:val="0"/>
      <w:divBdr>
        <w:top w:val="none" w:sz="0" w:space="0" w:color="auto"/>
        <w:left w:val="none" w:sz="0" w:space="0" w:color="auto"/>
        <w:bottom w:val="none" w:sz="0" w:space="0" w:color="auto"/>
        <w:right w:val="none" w:sz="0" w:space="0" w:color="auto"/>
      </w:divBdr>
    </w:div>
    <w:div w:id="888568953">
      <w:bodyDiv w:val="1"/>
      <w:marLeft w:val="0"/>
      <w:marRight w:val="0"/>
      <w:marTop w:val="0"/>
      <w:marBottom w:val="0"/>
      <w:divBdr>
        <w:top w:val="none" w:sz="0" w:space="0" w:color="auto"/>
        <w:left w:val="none" w:sz="0" w:space="0" w:color="auto"/>
        <w:bottom w:val="none" w:sz="0" w:space="0" w:color="auto"/>
        <w:right w:val="none" w:sz="0" w:space="0" w:color="auto"/>
      </w:divBdr>
    </w:div>
    <w:div w:id="1008751647">
      <w:bodyDiv w:val="1"/>
      <w:marLeft w:val="0"/>
      <w:marRight w:val="0"/>
      <w:marTop w:val="0"/>
      <w:marBottom w:val="0"/>
      <w:divBdr>
        <w:top w:val="none" w:sz="0" w:space="0" w:color="auto"/>
        <w:left w:val="none" w:sz="0" w:space="0" w:color="auto"/>
        <w:bottom w:val="none" w:sz="0" w:space="0" w:color="auto"/>
        <w:right w:val="none" w:sz="0" w:space="0" w:color="auto"/>
      </w:divBdr>
    </w:div>
    <w:div w:id="1177307635">
      <w:bodyDiv w:val="1"/>
      <w:marLeft w:val="0"/>
      <w:marRight w:val="0"/>
      <w:marTop w:val="0"/>
      <w:marBottom w:val="0"/>
      <w:divBdr>
        <w:top w:val="none" w:sz="0" w:space="0" w:color="auto"/>
        <w:left w:val="none" w:sz="0" w:space="0" w:color="auto"/>
        <w:bottom w:val="none" w:sz="0" w:space="0" w:color="auto"/>
        <w:right w:val="none" w:sz="0" w:space="0" w:color="auto"/>
      </w:divBdr>
    </w:div>
    <w:div w:id="1327056503">
      <w:bodyDiv w:val="1"/>
      <w:marLeft w:val="0"/>
      <w:marRight w:val="0"/>
      <w:marTop w:val="0"/>
      <w:marBottom w:val="0"/>
      <w:divBdr>
        <w:top w:val="none" w:sz="0" w:space="0" w:color="auto"/>
        <w:left w:val="none" w:sz="0" w:space="0" w:color="auto"/>
        <w:bottom w:val="none" w:sz="0" w:space="0" w:color="auto"/>
        <w:right w:val="none" w:sz="0" w:space="0" w:color="auto"/>
      </w:divBdr>
    </w:div>
    <w:div w:id="1476873568">
      <w:bodyDiv w:val="1"/>
      <w:marLeft w:val="0"/>
      <w:marRight w:val="0"/>
      <w:marTop w:val="0"/>
      <w:marBottom w:val="0"/>
      <w:divBdr>
        <w:top w:val="none" w:sz="0" w:space="0" w:color="auto"/>
        <w:left w:val="none" w:sz="0" w:space="0" w:color="auto"/>
        <w:bottom w:val="none" w:sz="0" w:space="0" w:color="auto"/>
        <w:right w:val="none" w:sz="0" w:space="0" w:color="auto"/>
      </w:divBdr>
    </w:div>
    <w:div w:id="1492141109">
      <w:bodyDiv w:val="1"/>
      <w:marLeft w:val="0"/>
      <w:marRight w:val="0"/>
      <w:marTop w:val="0"/>
      <w:marBottom w:val="0"/>
      <w:divBdr>
        <w:top w:val="none" w:sz="0" w:space="0" w:color="auto"/>
        <w:left w:val="none" w:sz="0" w:space="0" w:color="auto"/>
        <w:bottom w:val="none" w:sz="0" w:space="0" w:color="auto"/>
        <w:right w:val="none" w:sz="0" w:space="0" w:color="auto"/>
      </w:divBdr>
    </w:div>
    <w:div w:id="1531064254">
      <w:bodyDiv w:val="1"/>
      <w:marLeft w:val="0"/>
      <w:marRight w:val="0"/>
      <w:marTop w:val="0"/>
      <w:marBottom w:val="0"/>
      <w:divBdr>
        <w:top w:val="none" w:sz="0" w:space="0" w:color="auto"/>
        <w:left w:val="none" w:sz="0" w:space="0" w:color="auto"/>
        <w:bottom w:val="none" w:sz="0" w:space="0" w:color="auto"/>
        <w:right w:val="none" w:sz="0" w:space="0" w:color="auto"/>
      </w:divBdr>
    </w:div>
    <w:div w:id="1666275282">
      <w:bodyDiv w:val="1"/>
      <w:marLeft w:val="0"/>
      <w:marRight w:val="0"/>
      <w:marTop w:val="0"/>
      <w:marBottom w:val="0"/>
      <w:divBdr>
        <w:top w:val="none" w:sz="0" w:space="0" w:color="auto"/>
        <w:left w:val="none" w:sz="0" w:space="0" w:color="auto"/>
        <w:bottom w:val="none" w:sz="0" w:space="0" w:color="auto"/>
        <w:right w:val="none" w:sz="0" w:space="0" w:color="auto"/>
      </w:divBdr>
    </w:div>
    <w:div w:id="1704094964">
      <w:bodyDiv w:val="1"/>
      <w:marLeft w:val="0"/>
      <w:marRight w:val="0"/>
      <w:marTop w:val="0"/>
      <w:marBottom w:val="0"/>
      <w:divBdr>
        <w:top w:val="none" w:sz="0" w:space="0" w:color="auto"/>
        <w:left w:val="none" w:sz="0" w:space="0" w:color="auto"/>
        <w:bottom w:val="none" w:sz="0" w:space="0" w:color="auto"/>
        <w:right w:val="none" w:sz="0" w:space="0" w:color="auto"/>
      </w:divBdr>
    </w:div>
    <w:div w:id="1758164525">
      <w:bodyDiv w:val="1"/>
      <w:marLeft w:val="0"/>
      <w:marRight w:val="0"/>
      <w:marTop w:val="0"/>
      <w:marBottom w:val="0"/>
      <w:divBdr>
        <w:top w:val="none" w:sz="0" w:space="0" w:color="auto"/>
        <w:left w:val="none" w:sz="0" w:space="0" w:color="auto"/>
        <w:bottom w:val="none" w:sz="0" w:space="0" w:color="auto"/>
        <w:right w:val="none" w:sz="0" w:space="0" w:color="auto"/>
      </w:divBdr>
    </w:div>
    <w:div w:id="1762942719">
      <w:bodyDiv w:val="1"/>
      <w:marLeft w:val="0"/>
      <w:marRight w:val="0"/>
      <w:marTop w:val="0"/>
      <w:marBottom w:val="0"/>
      <w:divBdr>
        <w:top w:val="none" w:sz="0" w:space="0" w:color="auto"/>
        <w:left w:val="none" w:sz="0" w:space="0" w:color="auto"/>
        <w:bottom w:val="none" w:sz="0" w:space="0" w:color="auto"/>
        <w:right w:val="none" w:sz="0" w:space="0" w:color="auto"/>
      </w:divBdr>
    </w:div>
    <w:div w:id="1828863270">
      <w:bodyDiv w:val="1"/>
      <w:marLeft w:val="0"/>
      <w:marRight w:val="0"/>
      <w:marTop w:val="0"/>
      <w:marBottom w:val="0"/>
      <w:divBdr>
        <w:top w:val="none" w:sz="0" w:space="0" w:color="auto"/>
        <w:left w:val="none" w:sz="0" w:space="0" w:color="auto"/>
        <w:bottom w:val="none" w:sz="0" w:space="0" w:color="auto"/>
        <w:right w:val="none" w:sz="0" w:space="0" w:color="auto"/>
      </w:divBdr>
    </w:div>
    <w:div w:id="1904949743">
      <w:bodyDiv w:val="1"/>
      <w:marLeft w:val="0"/>
      <w:marRight w:val="0"/>
      <w:marTop w:val="0"/>
      <w:marBottom w:val="0"/>
      <w:divBdr>
        <w:top w:val="none" w:sz="0" w:space="0" w:color="auto"/>
        <w:left w:val="none" w:sz="0" w:space="0" w:color="auto"/>
        <w:bottom w:val="none" w:sz="0" w:space="0" w:color="auto"/>
        <w:right w:val="none" w:sz="0" w:space="0" w:color="auto"/>
      </w:divBdr>
    </w:div>
    <w:div w:id="2044209480">
      <w:bodyDiv w:val="1"/>
      <w:marLeft w:val="0"/>
      <w:marRight w:val="0"/>
      <w:marTop w:val="0"/>
      <w:marBottom w:val="0"/>
      <w:divBdr>
        <w:top w:val="none" w:sz="0" w:space="0" w:color="auto"/>
        <w:left w:val="none" w:sz="0" w:space="0" w:color="auto"/>
        <w:bottom w:val="none" w:sz="0" w:space="0" w:color="auto"/>
        <w:right w:val="none" w:sz="0" w:space="0" w:color="auto"/>
      </w:divBdr>
    </w:div>
    <w:div w:id="2051881945">
      <w:bodyDiv w:val="1"/>
      <w:marLeft w:val="0"/>
      <w:marRight w:val="0"/>
      <w:marTop w:val="0"/>
      <w:marBottom w:val="0"/>
      <w:divBdr>
        <w:top w:val="none" w:sz="0" w:space="0" w:color="auto"/>
        <w:left w:val="none" w:sz="0" w:space="0" w:color="auto"/>
        <w:bottom w:val="none" w:sz="0" w:space="0" w:color="auto"/>
        <w:right w:val="none" w:sz="0" w:space="0" w:color="auto"/>
      </w:divBdr>
    </w:div>
    <w:div w:id="2116292022">
      <w:bodyDiv w:val="1"/>
      <w:marLeft w:val="0"/>
      <w:marRight w:val="0"/>
      <w:marTop w:val="0"/>
      <w:marBottom w:val="0"/>
      <w:divBdr>
        <w:top w:val="none" w:sz="0" w:space="0" w:color="auto"/>
        <w:left w:val="none" w:sz="0" w:space="0" w:color="auto"/>
        <w:bottom w:val="none" w:sz="0" w:space="0" w:color="auto"/>
        <w:right w:val="none" w:sz="0" w:space="0" w:color="auto"/>
      </w:divBdr>
    </w:div>
    <w:div w:id="2116437725">
      <w:bodyDiv w:val="1"/>
      <w:marLeft w:val="0"/>
      <w:marRight w:val="0"/>
      <w:marTop w:val="0"/>
      <w:marBottom w:val="0"/>
      <w:divBdr>
        <w:top w:val="none" w:sz="0" w:space="0" w:color="auto"/>
        <w:left w:val="none" w:sz="0" w:space="0" w:color="auto"/>
        <w:bottom w:val="none" w:sz="0" w:space="0" w:color="auto"/>
        <w:right w:val="none" w:sz="0" w:space="0" w:color="auto"/>
      </w:divBdr>
    </w:div>
    <w:div w:id="212442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2467;&#39064;&#25253;&#21578;&#26448;&#26009;\all\&#24773;&#26223;&#19968;\&#27169;&#22411;&#32467;&#26524;&#25968;&#25454;\&#26680;&#31639;\1&#24635;&#25490;&#25918;&#3732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32467;&#39064;&#25253;&#21578;&#26448;&#26009;\all\&#24773;&#26223;&#19968;\&#27169;&#22411;&#32467;&#26524;&#25968;&#25454;\&#26680;&#31639;\1&#24635;&#25490;&#25918;&#3732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2467;&#39064;&#25253;&#21578;&#26448;&#26009;\all\&#24773;&#26223;&#19968;\&#27169;&#22411;&#32467;&#26524;&#25968;&#25454;\&#26680;&#31639;\1&#24635;&#25490;&#25918;&#3732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32467;&#39064;&#25253;&#21578;&#26448;&#26009;\all\&#24773;&#26223;&#20108;\&#26680;&#31639;\2&#24635;&#25490;&#25918;.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2467;&#39064;&#25253;&#21578;&#26448;&#26009;\all\&#24773;&#26223;&#20108;\&#26680;&#31639;\2&#24635;&#25490;&#25918;.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2467;&#39064;&#25253;&#21578;&#26448;&#26009;\all\&#24773;&#26223;&#20108;\&#26680;&#31639;\2&#24635;&#25490;&#25918;.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1668871391076"/>
          <c:y val="4.3539292882507297E-2"/>
          <c:w val="0.74537693082128298"/>
          <c:h val="0.75820256291492905"/>
        </c:manualLayout>
      </c:layout>
      <c:bar3DChart>
        <c:barDir val="col"/>
        <c:grouping val="stacked"/>
        <c:varyColors val="0"/>
        <c:ser>
          <c:idx val="0"/>
          <c:order val="0"/>
          <c:tx>
            <c:strRef>
              <c:f>开采排放!$M$29</c:f>
              <c:strCache>
                <c:ptCount val="1"/>
                <c:pt idx="0">
                  <c:v>生产环节直接排放</c:v>
                </c:pt>
              </c:strCache>
            </c:strRef>
          </c:tx>
          <c:spPr>
            <a:solidFill>
              <a:schemeClr val="tx1"/>
            </a:solidFill>
          </c:spPr>
          <c:invertIfNegative val="0"/>
          <c:cat>
            <c:strRef>
              <c:f>开采排放!$L$30:$L$50</c:f>
              <c:strCache>
                <c:ptCount val="21"/>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pt idx="14">
                  <c:v>2024年</c:v>
                </c:pt>
                <c:pt idx="15">
                  <c:v>2025年</c:v>
                </c:pt>
                <c:pt idx="16">
                  <c:v>2026年</c:v>
                </c:pt>
                <c:pt idx="17">
                  <c:v>2027年</c:v>
                </c:pt>
                <c:pt idx="18">
                  <c:v>2028年</c:v>
                </c:pt>
                <c:pt idx="19">
                  <c:v>2029年</c:v>
                </c:pt>
                <c:pt idx="20">
                  <c:v>2030年</c:v>
                </c:pt>
              </c:strCache>
            </c:strRef>
          </c:cat>
          <c:val>
            <c:numRef>
              <c:f>开采排放!$M$30:$M$50</c:f>
              <c:numCache>
                <c:formatCode>General</c:formatCode>
                <c:ptCount val="21"/>
                <c:pt idx="0">
                  <c:v>50970.98</c:v>
                </c:pt>
                <c:pt idx="1">
                  <c:v>48850.52</c:v>
                </c:pt>
                <c:pt idx="2">
                  <c:v>55735.54</c:v>
                </c:pt>
                <c:pt idx="3">
                  <c:v>56696.97</c:v>
                </c:pt>
                <c:pt idx="4">
                  <c:v>54643.17</c:v>
                </c:pt>
                <c:pt idx="5">
                  <c:v>52510.92</c:v>
                </c:pt>
                <c:pt idx="6">
                  <c:v>46846.16</c:v>
                </c:pt>
                <c:pt idx="7">
                  <c:v>50111.26</c:v>
                </c:pt>
                <c:pt idx="8">
                  <c:v>49724.59</c:v>
                </c:pt>
                <c:pt idx="9">
                  <c:v>49207.15</c:v>
                </c:pt>
                <c:pt idx="10">
                  <c:v>48981.27</c:v>
                </c:pt>
                <c:pt idx="11">
                  <c:v>46748.27</c:v>
                </c:pt>
                <c:pt idx="12">
                  <c:v>44540.160000000003</c:v>
                </c:pt>
                <c:pt idx="13">
                  <c:v>42357.52</c:v>
                </c:pt>
                <c:pt idx="14">
                  <c:v>40200.93</c:v>
                </c:pt>
                <c:pt idx="15">
                  <c:v>38070.950000000012</c:v>
                </c:pt>
                <c:pt idx="16">
                  <c:v>37435.69</c:v>
                </c:pt>
                <c:pt idx="17">
                  <c:v>36802.49</c:v>
                </c:pt>
                <c:pt idx="18">
                  <c:v>36176.660000000003</c:v>
                </c:pt>
                <c:pt idx="19">
                  <c:v>35551.380000000012</c:v>
                </c:pt>
                <c:pt idx="20">
                  <c:v>34958.47</c:v>
                </c:pt>
              </c:numCache>
            </c:numRef>
          </c:val>
          <c:extLst>
            <c:ext xmlns:c16="http://schemas.microsoft.com/office/drawing/2014/chart" uri="{C3380CC4-5D6E-409C-BE32-E72D297353CC}">
              <c16:uniqueId val="{00000000-BC4C-934B-83DE-64D5269DAB63}"/>
            </c:ext>
          </c:extLst>
        </c:ser>
        <c:ser>
          <c:idx val="1"/>
          <c:order val="1"/>
          <c:tx>
            <c:strRef>
              <c:f>开采排放!$N$29</c:f>
              <c:strCache>
                <c:ptCount val="1"/>
                <c:pt idx="0">
                  <c:v>生产环节间接排放</c:v>
                </c:pt>
              </c:strCache>
            </c:strRef>
          </c:tx>
          <c:spPr>
            <a:solidFill>
              <a:srgbClr val="FFFF00"/>
            </a:solidFill>
          </c:spPr>
          <c:invertIfNegative val="0"/>
          <c:cat>
            <c:strRef>
              <c:f>开采排放!$L$30:$L$50</c:f>
              <c:strCache>
                <c:ptCount val="21"/>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pt idx="14">
                  <c:v>2024年</c:v>
                </c:pt>
                <c:pt idx="15">
                  <c:v>2025年</c:v>
                </c:pt>
                <c:pt idx="16">
                  <c:v>2026年</c:v>
                </c:pt>
                <c:pt idx="17">
                  <c:v>2027年</c:v>
                </c:pt>
                <c:pt idx="18">
                  <c:v>2028年</c:v>
                </c:pt>
                <c:pt idx="19">
                  <c:v>2029年</c:v>
                </c:pt>
                <c:pt idx="20">
                  <c:v>2030年</c:v>
                </c:pt>
              </c:strCache>
            </c:strRef>
          </c:cat>
          <c:val>
            <c:numRef>
              <c:f>开采排放!$N$30:$N$50</c:f>
              <c:numCache>
                <c:formatCode>General</c:formatCode>
                <c:ptCount val="21"/>
                <c:pt idx="0">
                  <c:v>8209.6910000000007</c:v>
                </c:pt>
                <c:pt idx="1">
                  <c:v>8463.9840000000004</c:v>
                </c:pt>
                <c:pt idx="2">
                  <c:v>9420.6890000000003</c:v>
                </c:pt>
                <c:pt idx="3">
                  <c:v>9518.3040000000001</c:v>
                </c:pt>
                <c:pt idx="4">
                  <c:v>9244.77</c:v>
                </c:pt>
                <c:pt idx="5">
                  <c:v>8924.0540000000001</c:v>
                </c:pt>
                <c:pt idx="6">
                  <c:v>8299.1569999999429</c:v>
                </c:pt>
                <c:pt idx="7">
                  <c:v>8888.2510000000002</c:v>
                </c:pt>
                <c:pt idx="8">
                  <c:v>9151.6470000000008</c:v>
                </c:pt>
                <c:pt idx="9">
                  <c:v>9267.625</c:v>
                </c:pt>
                <c:pt idx="10">
                  <c:v>9465.92</c:v>
                </c:pt>
                <c:pt idx="11">
                  <c:v>9304.3279999999504</c:v>
                </c:pt>
                <c:pt idx="12">
                  <c:v>9142.736999999981</c:v>
                </c:pt>
                <c:pt idx="13">
                  <c:v>8981.1450000000004</c:v>
                </c:pt>
                <c:pt idx="14">
                  <c:v>8819.552999999958</c:v>
                </c:pt>
                <c:pt idx="15">
                  <c:v>8657.9619999999504</c:v>
                </c:pt>
                <c:pt idx="16">
                  <c:v>8626.1450000000004</c:v>
                </c:pt>
                <c:pt idx="17">
                  <c:v>8594.3289999999506</c:v>
                </c:pt>
                <c:pt idx="18">
                  <c:v>8564.2090000000007</c:v>
                </c:pt>
                <c:pt idx="19">
                  <c:v>8528.9840000000004</c:v>
                </c:pt>
                <c:pt idx="20">
                  <c:v>8512.730999999987</c:v>
                </c:pt>
              </c:numCache>
            </c:numRef>
          </c:val>
          <c:extLst>
            <c:ext xmlns:c16="http://schemas.microsoft.com/office/drawing/2014/chart" uri="{C3380CC4-5D6E-409C-BE32-E72D297353CC}">
              <c16:uniqueId val="{00000001-BC4C-934B-83DE-64D5269DAB63}"/>
            </c:ext>
          </c:extLst>
        </c:ser>
        <c:dLbls>
          <c:showLegendKey val="0"/>
          <c:showVal val="0"/>
          <c:showCatName val="0"/>
          <c:showSerName val="0"/>
          <c:showPercent val="0"/>
          <c:showBubbleSize val="0"/>
        </c:dLbls>
        <c:gapWidth val="150"/>
        <c:shape val="box"/>
        <c:axId val="-963575936"/>
        <c:axId val="1332913488"/>
        <c:axId val="0"/>
      </c:bar3DChart>
      <c:catAx>
        <c:axId val="-963575936"/>
        <c:scaling>
          <c:orientation val="minMax"/>
        </c:scaling>
        <c:delete val="0"/>
        <c:axPos val="b"/>
        <c:numFmt formatCode="General" sourceLinked="0"/>
        <c:majorTickMark val="out"/>
        <c:minorTickMark val="none"/>
        <c:tickLblPos val="nextTo"/>
        <c:crossAx val="1332913488"/>
        <c:crosses val="autoZero"/>
        <c:auto val="1"/>
        <c:lblAlgn val="ctr"/>
        <c:lblOffset val="100"/>
        <c:noMultiLvlLbl val="0"/>
      </c:catAx>
      <c:valAx>
        <c:axId val="1332913488"/>
        <c:scaling>
          <c:orientation val="minMax"/>
        </c:scaling>
        <c:delete val="0"/>
        <c:axPos val="l"/>
        <c:majorGridlines/>
        <c:numFmt formatCode="General" sourceLinked="1"/>
        <c:majorTickMark val="out"/>
        <c:minorTickMark val="none"/>
        <c:tickLblPos val="nextTo"/>
        <c:crossAx val="-963575936"/>
        <c:crosses val="autoZero"/>
        <c:crossBetween val="between"/>
      </c:valAx>
    </c:plotArea>
    <c:legend>
      <c:legendPos val="r"/>
      <c:layout>
        <c:manualLayout>
          <c:xMode val="edge"/>
          <c:yMode val="edge"/>
          <c:x val="0.84542698476198597"/>
          <c:y val="0.35849833986040702"/>
          <c:w val="0.136165206461868"/>
          <c:h val="0.28300324224177897"/>
        </c:manualLayout>
      </c:layout>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104490295194582"/>
          <c:y val="4.0848122461513398E-2"/>
          <c:w val="0.74990825799553096"/>
          <c:h val="0.77195772713841504"/>
        </c:manualLayout>
      </c:layout>
      <c:bar3DChart>
        <c:barDir val="col"/>
        <c:grouping val="stacked"/>
        <c:varyColors val="0"/>
        <c:ser>
          <c:idx val="0"/>
          <c:order val="0"/>
          <c:tx>
            <c:strRef>
              <c:f>运输排放!$B$136</c:f>
              <c:strCache>
                <c:ptCount val="1"/>
                <c:pt idx="0">
                  <c:v>运输环节直接排放</c:v>
                </c:pt>
              </c:strCache>
            </c:strRef>
          </c:tx>
          <c:spPr>
            <a:solidFill>
              <a:srgbClr val="FF0000"/>
            </a:solidFill>
          </c:spPr>
          <c:invertIfNegative val="0"/>
          <c:cat>
            <c:strRef>
              <c:f>运输排放!$A$137:$A$157</c:f>
              <c:strCache>
                <c:ptCount val="21"/>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pt idx="14">
                  <c:v>2024年</c:v>
                </c:pt>
                <c:pt idx="15">
                  <c:v>2025年</c:v>
                </c:pt>
                <c:pt idx="16">
                  <c:v>2026年</c:v>
                </c:pt>
                <c:pt idx="17">
                  <c:v>2027年</c:v>
                </c:pt>
                <c:pt idx="18">
                  <c:v>2028年</c:v>
                </c:pt>
                <c:pt idx="19">
                  <c:v>2029年</c:v>
                </c:pt>
                <c:pt idx="20">
                  <c:v>2030年</c:v>
                </c:pt>
              </c:strCache>
            </c:strRef>
          </c:cat>
          <c:val>
            <c:numRef>
              <c:f>运输排放!$B$137:$B$157</c:f>
              <c:numCache>
                <c:formatCode>General</c:formatCode>
                <c:ptCount val="21"/>
                <c:pt idx="0">
                  <c:v>7826.1</c:v>
                </c:pt>
                <c:pt idx="1">
                  <c:v>8979.1990000000005</c:v>
                </c:pt>
                <c:pt idx="2">
                  <c:v>10138.1</c:v>
                </c:pt>
                <c:pt idx="3">
                  <c:v>11363.449999999981</c:v>
                </c:pt>
                <c:pt idx="4">
                  <c:v>10936.81</c:v>
                </c:pt>
                <c:pt idx="5">
                  <c:v>10520.76</c:v>
                </c:pt>
                <c:pt idx="6">
                  <c:v>10145.39</c:v>
                </c:pt>
                <c:pt idx="7">
                  <c:v>10372</c:v>
                </c:pt>
                <c:pt idx="8">
                  <c:v>10558.72000000001</c:v>
                </c:pt>
                <c:pt idx="9">
                  <c:v>10974.21000000001</c:v>
                </c:pt>
                <c:pt idx="10">
                  <c:v>11087.83</c:v>
                </c:pt>
                <c:pt idx="11">
                  <c:v>10900.356199999949</c:v>
                </c:pt>
                <c:pt idx="12">
                  <c:v>10710.9872</c:v>
                </c:pt>
                <c:pt idx="13">
                  <c:v>10533.032499999999</c:v>
                </c:pt>
                <c:pt idx="14">
                  <c:v>10354.34</c:v>
                </c:pt>
                <c:pt idx="15">
                  <c:v>10241.177</c:v>
                </c:pt>
                <c:pt idx="16">
                  <c:v>10174.99469999999</c:v>
                </c:pt>
                <c:pt idx="17">
                  <c:v>10034.804899999979</c:v>
                </c:pt>
                <c:pt idx="18">
                  <c:v>9891.8388999999661</c:v>
                </c:pt>
                <c:pt idx="19">
                  <c:v>9733.4178999999622</c:v>
                </c:pt>
                <c:pt idx="20">
                  <c:v>9576.7467000000088</c:v>
                </c:pt>
              </c:numCache>
            </c:numRef>
          </c:val>
          <c:extLst>
            <c:ext xmlns:c16="http://schemas.microsoft.com/office/drawing/2014/chart" uri="{C3380CC4-5D6E-409C-BE32-E72D297353CC}">
              <c16:uniqueId val="{00000000-F1A8-3344-AC2A-AC37ADE66B02}"/>
            </c:ext>
          </c:extLst>
        </c:ser>
        <c:ser>
          <c:idx val="1"/>
          <c:order val="1"/>
          <c:tx>
            <c:strRef>
              <c:f>运输排放!$C$136</c:f>
              <c:strCache>
                <c:ptCount val="1"/>
                <c:pt idx="0">
                  <c:v>运输环节间接排放</c:v>
                </c:pt>
              </c:strCache>
            </c:strRef>
          </c:tx>
          <c:spPr>
            <a:solidFill>
              <a:srgbClr val="0070C0"/>
            </a:solidFill>
          </c:spPr>
          <c:invertIfNegative val="0"/>
          <c:cat>
            <c:strRef>
              <c:f>运输排放!$A$137:$A$157</c:f>
              <c:strCache>
                <c:ptCount val="21"/>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pt idx="14">
                  <c:v>2024年</c:v>
                </c:pt>
                <c:pt idx="15">
                  <c:v>2025年</c:v>
                </c:pt>
                <c:pt idx="16">
                  <c:v>2026年</c:v>
                </c:pt>
                <c:pt idx="17">
                  <c:v>2027年</c:v>
                </c:pt>
                <c:pt idx="18">
                  <c:v>2028年</c:v>
                </c:pt>
                <c:pt idx="19">
                  <c:v>2029年</c:v>
                </c:pt>
                <c:pt idx="20">
                  <c:v>2030年</c:v>
                </c:pt>
              </c:strCache>
            </c:strRef>
          </c:cat>
          <c:val>
            <c:numRef>
              <c:f>运输排放!$C$137:$C$157</c:f>
              <c:numCache>
                <c:formatCode>General</c:formatCode>
                <c:ptCount val="21"/>
                <c:pt idx="0">
                  <c:v>986.45199999999772</c:v>
                </c:pt>
                <c:pt idx="1">
                  <c:v>1097.972</c:v>
                </c:pt>
                <c:pt idx="2">
                  <c:v>1254.6690000000001</c:v>
                </c:pt>
                <c:pt idx="3">
                  <c:v>1425.481</c:v>
                </c:pt>
                <c:pt idx="4">
                  <c:v>1342.0509999999999</c:v>
                </c:pt>
                <c:pt idx="5">
                  <c:v>1326.4870000000001</c:v>
                </c:pt>
                <c:pt idx="6">
                  <c:v>1297.3689999999999</c:v>
                </c:pt>
                <c:pt idx="7">
                  <c:v>1336.76</c:v>
                </c:pt>
                <c:pt idx="8">
                  <c:v>1365.0840000000001</c:v>
                </c:pt>
                <c:pt idx="9">
                  <c:v>1403.3140000000001</c:v>
                </c:pt>
                <c:pt idx="10">
                  <c:v>1471.39</c:v>
                </c:pt>
                <c:pt idx="11">
                  <c:v>1504.6669999999999</c:v>
                </c:pt>
                <c:pt idx="12">
                  <c:v>1548.8789999999999</c:v>
                </c:pt>
                <c:pt idx="13">
                  <c:v>1593.0909999999999</c:v>
                </c:pt>
                <c:pt idx="14">
                  <c:v>1637.3030000000001</c:v>
                </c:pt>
                <c:pt idx="15">
                  <c:v>1681.5150000000001</c:v>
                </c:pt>
                <c:pt idx="16">
                  <c:v>1725.7270000000001</c:v>
                </c:pt>
                <c:pt idx="17">
                  <c:v>1769.9390000000001</c:v>
                </c:pt>
                <c:pt idx="18">
                  <c:v>1814.1510000000001</c:v>
                </c:pt>
                <c:pt idx="19">
                  <c:v>1858.3630000000001</c:v>
                </c:pt>
                <c:pt idx="20">
                  <c:v>1902.575</c:v>
                </c:pt>
              </c:numCache>
            </c:numRef>
          </c:val>
          <c:extLst>
            <c:ext xmlns:c16="http://schemas.microsoft.com/office/drawing/2014/chart" uri="{C3380CC4-5D6E-409C-BE32-E72D297353CC}">
              <c16:uniqueId val="{00000001-F1A8-3344-AC2A-AC37ADE66B02}"/>
            </c:ext>
          </c:extLst>
        </c:ser>
        <c:dLbls>
          <c:showLegendKey val="0"/>
          <c:showVal val="0"/>
          <c:showCatName val="0"/>
          <c:showSerName val="0"/>
          <c:showPercent val="0"/>
          <c:showBubbleSize val="0"/>
        </c:dLbls>
        <c:gapWidth val="150"/>
        <c:shape val="box"/>
        <c:axId val="1227102528"/>
        <c:axId val="1284978752"/>
        <c:axId val="0"/>
      </c:bar3DChart>
      <c:catAx>
        <c:axId val="1227102528"/>
        <c:scaling>
          <c:orientation val="minMax"/>
        </c:scaling>
        <c:delete val="0"/>
        <c:axPos val="b"/>
        <c:numFmt formatCode="General" sourceLinked="0"/>
        <c:majorTickMark val="out"/>
        <c:minorTickMark val="none"/>
        <c:tickLblPos val="nextTo"/>
        <c:crossAx val="1284978752"/>
        <c:crosses val="autoZero"/>
        <c:auto val="1"/>
        <c:lblAlgn val="ctr"/>
        <c:lblOffset val="100"/>
        <c:noMultiLvlLbl val="0"/>
      </c:catAx>
      <c:valAx>
        <c:axId val="1284978752"/>
        <c:scaling>
          <c:orientation val="minMax"/>
        </c:scaling>
        <c:delete val="0"/>
        <c:axPos val="l"/>
        <c:majorGridlines/>
        <c:numFmt formatCode="General" sourceLinked="1"/>
        <c:majorTickMark val="out"/>
        <c:minorTickMark val="none"/>
        <c:tickLblPos val="nextTo"/>
        <c:crossAx val="1227102528"/>
        <c:crosses val="autoZero"/>
        <c:crossBetween val="between"/>
      </c:valAx>
    </c:plotArea>
    <c:legend>
      <c:legendPos val="r"/>
      <c:layout>
        <c:manualLayout>
          <c:xMode val="edge"/>
          <c:yMode val="edge"/>
          <c:x val="0.85041966117871703"/>
          <c:y val="0.396678022863036"/>
          <c:w val="0.13414822238129401"/>
          <c:h val="0.20664395427392801"/>
        </c:manualLayout>
      </c:layout>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7822843177591295E-2"/>
          <c:y val="4.3630420306609199E-2"/>
          <c:w val="0.74333116559322399"/>
          <c:h val="0.75642502976728299"/>
        </c:manualLayout>
      </c:layout>
      <c:bar3DChart>
        <c:barDir val="col"/>
        <c:grouping val="stacked"/>
        <c:varyColors val="0"/>
        <c:ser>
          <c:idx val="0"/>
          <c:order val="0"/>
          <c:tx>
            <c:strRef>
              <c:f>总排放!$B$111</c:f>
              <c:strCache>
                <c:ptCount val="1"/>
                <c:pt idx="0">
                  <c:v>生产直接排放</c:v>
                </c:pt>
              </c:strCache>
            </c:strRef>
          </c:tx>
          <c:spPr>
            <a:solidFill>
              <a:schemeClr val="tx1"/>
            </a:solidFill>
          </c:spPr>
          <c:invertIfNegative val="0"/>
          <c:cat>
            <c:strRef>
              <c:f>总排放!$A$112:$A$132</c:f>
              <c:strCache>
                <c:ptCount val="21"/>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pt idx="14">
                  <c:v>2024年</c:v>
                </c:pt>
                <c:pt idx="15">
                  <c:v>2025年</c:v>
                </c:pt>
                <c:pt idx="16">
                  <c:v>2026年</c:v>
                </c:pt>
                <c:pt idx="17">
                  <c:v>2027年</c:v>
                </c:pt>
                <c:pt idx="18">
                  <c:v>2028年</c:v>
                </c:pt>
                <c:pt idx="19">
                  <c:v>2029年</c:v>
                </c:pt>
                <c:pt idx="20">
                  <c:v>2030年</c:v>
                </c:pt>
              </c:strCache>
            </c:strRef>
          </c:cat>
          <c:val>
            <c:numRef>
              <c:f>总排放!$B$112:$B$132</c:f>
              <c:numCache>
                <c:formatCode>General</c:formatCode>
                <c:ptCount val="21"/>
                <c:pt idx="0">
                  <c:v>50970.98</c:v>
                </c:pt>
                <c:pt idx="1">
                  <c:v>48850.52</c:v>
                </c:pt>
                <c:pt idx="2">
                  <c:v>55735.54</c:v>
                </c:pt>
                <c:pt idx="3">
                  <c:v>56696.97</c:v>
                </c:pt>
                <c:pt idx="4">
                  <c:v>54643.17</c:v>
                </c:pt>
                <c:pt idx="5">
                  <c:v>52510.92</c:v>
                </c:pt>
                <c:pt idx="6">
                  <c:v>46846.16</c:v>
                </c:pt>
                <c:pt idx="7">
                  <c:v>50111.26</c:v>
                </c:pt>
                <c:pt idx="8">
                  <c:v>49724.59</c:v>
                </c:pt>
                <c:pt idx="9">
                  <c:v>49207.15</c:v>
                </c:pt>
                <c:pt idx="10">
                  <c:v>48981.27</c:v>
                </c:pt>
                <c:pt idx="11">
                  <c:v>46748.27</c:v>
                </c:pt>
                <c:pt idx="12">
                  <c:v>44540.160000000003</c:v>
                </c:pt>
                <c:pt idx="13">
                  <c:v>42357.52</c:v>
                </c:pt>
                <c:pt idx="14">
                  <c:v>40200.93</c:v>
                </c:pt>
                <c:pt idx="15">
                  <c:v>38070.950000000012</c:v>
                </c:pt>
                <c:pt idx="16">
                  <c:v>37435.69</c:v>
                </c:pt>
                <c:pt idx="17">
                  <c:v>36802.49</c:v>
                </c:pt>
                <c:pt idx="18">
                  <c:v>36176.660000000003</c:v>
                </c:pt>
                <c:pt idx="19">
                  <c:v>35551.380000000012</c:v>
                </c:pt>
                <c:pt idx="20">
                  <c:v>34958.47</c:v>
                </c:pt>
              </c:numCache>
            </c:numRef>
          </c:val>
          <c:extLst>
            <c:ext xmlns:c16="http://schemas.microsoft.com/office/drawing/2014/chart" uri="{C3380CC4-5D6E-409C-BE32-E72D297353CC}">
              <c16:uniqueId val="{00000000-F059-CB46-A481-2F7723517C73}"/>
            </c:ext>
          </c:extLst>
        </c:ser>
        <c:ser>
          <c:idx val="1"/>
          <c:order val="1"/>
          <c:tx>
            <c:strRef>
              <c:f>总排放!$C$111</c:f>
              <c:strCache>
                <c:ptCount val="1"/>
                <c:pt idx="0">
                  <c:v>运输直接排放</c:v>
                </c:pt>
              </c:strCache>
            </c:strRef>
          </c:tx>
          <c:spPr>
            <a:solidFill>
              <a:srgbClr val="FF0000"/>
            </a:solidFill>
          </c:spPr>
          <c:invertIfNegative val="0"/>
          <c:cat>
            <c:strRef>
              <c:f>总排放!$A$112:$A$132</c:f>
              <c:strCache>
                <c:ptCount val="21"/>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pt idx="14">
                  <c:v>2024年</c:v>
                </c:pt>
                <c:pt idx="15">
                  <c:v>2025年</c:v>
                </c:pt>
                <c:pt idx="16">
                  <c:v>2026年</c:v>
                </c:pt>
                <c:pt idx="17">
                  <c:v>2027年</c:v>
                </c:pt>
                <c:pt idx="18">
                  <c:v>2028年</c:v>
                </c:pt>
                <c:pt idx="19">
                  <c:v>2029年</c:v>
                </c:pt>
                <c:pt idx="20">
                  <c:v>2030年</c:v>
                </c:pt>
              </c:strCache>
            </c:strRef>
          </c:cat>
          <c:val>
            <c:numRef>
              <c:f>总排放!$C$112:$C$132</c:f>
              <c:numCache>
                <c:formatCode>General</c:formatCode>
                <c:ptCount val="21"/>
                <c:pt idx="0">
                  <c:v>7826.1</c:v>
                </c:pt>
                <c:pt idx="1">
                  <c:v>8979.1990000000005</c:v>
                </c:pt>
                <c:pt idx="2">
                  <c:v>10138.1</c:v>
                </c:pt>
                <c:pt idx="3">
                  <c:v>11363.449999999981</c:v>
                </c:pt>
                <c:pt idx="4">
                  <c:v>10936.81</c:v>
                </c:pt>
                <c:pt idx="5">
                  <c:v>10520.76</c:v>
                </c:pt>
                <c:pt idx="6">
                  <c:v>10145.39</c:v>
                </c:pt>
                <c:pt idx="7">
                  <c:v>10372</c:v>
                </c:pt>
                <c:pt idx="8">
                  <c:v>10558.72000000001</c:v>
                </c:pt>
                <c:pt idx="9">
                  <c:v>10974.21000000001</c:v>
                </c:pt>
                <c:pt idx="10">
                  <c:v>11087.83</c:v>
                </c:pt>
                <c:pt idx="11">
                  <c:v>10900.359999999961</c:v>
                </c:pt>
                <c:pt idx="12">
                  <c:v>10710.99</c:v>
                </c:pt>
                <c:pt idx="13">
                  <c:v>10533.03</c:v>
                </c:pt>
                <c:pt idx="14">
                  <c:v>10354.34</c:v>
                </c:pt>
                <c:pt idx="15">
                  <c:v>10241.18</c:v>
                </c:pt>
                <c:pt idx="16">
                  <c:v>10174.99</c:v>
                </c:pt>
                <c:pt idx="17">
                  <c:v>10034.79999999999</c:v>
                </c:pt>
                <c:pt idx="18">
                  <c:v>9891.8389999999581</c:v>
                </c:pt>
                <c:pt idx="19">
                  <c:v>9733.4179999999506</c:v>
                </c:pt>
                <c:pt idx="20">
                  <c:v>9576.746999999983</c:v>
                </c:pt>
              </c:numCache>
            </c:numRef>
          </c:val>
          <c:extLst>
            <c:ext xmlns:c16="http://schemas.microsoft.com/office/drawing/2014/chart" uri="{C3380CC4-5D6E-409C-BE32-E72D297353CC}">
              <c16:uniqueId val="{00000001-F059-CB46-A481-2F7723517C73}"/>
            </c:ext>
          </c:extLst>
        </c:ser>
        <c:ser>
          <c:idx val="2"/>
          <c:order val="2"/>
          <c:tx>
            <c:strRef>
              <c:f>总排放!$D$111</c:f>
              <c:strCache>
                <c:ptCount val="1"/>
                <c:pt idx="0">
                  <c:v>生产间接排放</c:v>
                </c:pt>
              </c:strCache>
            </c:strRef>
          </c:tx>
          <c:spPr>
            <a:solidFill>
              <a:srgbClr val="FFFF00"/>
            </a:solidFill>
          </c:spPr>
          <c:invertIfNegative val="0"/>
          <c:cat>
            <c:strRef>
              <c:f>总排放!$A$112:$A$132</c:f>
              <c:strCache>
                <c:ptCount val="21"/>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pt idx="14">
                  <c:v>2024年</c:v>
                </c:pt>
                <c:pt idx="15">
                  <c:v>2025年</c:v>
                </c:pt>
                <c:pt idx="16">
                  <c:v>2026年</c:v>
                </c:pt>
                <c:pt idx="17">
                  <c:v>2027年</c:v>
                </c:pt>
                <c:pt idx="18">
                  <c:v>2028年</c:v>
                </c:pt>
                <c:pt idx="19">
                  <c:v>2029年</c:v>
                </c:pt>
                <c:pt idx="20">
                  <c:v>2030年</c:v>
                </c:pt>
              </c:strCache>
            </c:strRef>
          </c:cat>
          <c:val>
            <c:numRef>
              <c:f>总排放!$D$112:$D$132</c:f>
              <c:numCache>
                <c:formatCode>General</c:formatCode>
                <c:ptCount val="21"/>
                <c:pt idx="0">
                  <c:v>8209.6910000000007</c:v>
                </c:pt>
                <c:pt idx="1">
                  <c:v>8463.9840000000004</c:v>
                </c:pt>
                <c:pt idx="2">
                  <c:v>9420.6890000000003</c:v>
                </c:pt>
                <c:pt idx="3">
                  <c:v>9518.3040000000001</c:v>
                </c:pt>
                <c:pt idx="4">
                  <c:v>9244.77</c:v>
                </c:pt>
                <c:pt idx="5">
                  <c:v>8924.0540000000001</c:v>
                </c:pt>
                <c:pt idx="6">
                  <c:v>8299.1569999999429</c:v>
                </c:pt>
                <c:pt idx="7">
                  <c:v>8888.2510000000002</c:v>
                </c:pt>
                <c:pt idx="8">
                  <c:v>9151.6470000000008</c:v>
                </c:pt>
                <c:pt idx="9">
                  <c:v>9267.625</c:v>
                </c:pt>
                <c:pt idx="10">
                  <c:v>9465.92</c:v>
                </c:pt>
                <c:pt idx="11">
                  <c:v>9304.3279999999504</c:v>
                </c:pt>
                <c:pt idx="12">
                  <c:v>9142.736999999981</c:v>
                </c:pt>
                <c:pt idx="13">
                  <c:v>8981.1450000000004</c:v>
                </c:pt>
                <c:pt idx="14">
                  <c:v>8819.552999999958</c:v>
                </c:pt>
                <c:pt idx="15">
                  <c:v>8657.9619999999504</c:v>
                </c:pt>
                <c:pt idx="16">
                  <c:v>8626.1450000000004</c:v>
                </c:pt>
                <c:pt idx="17">
                  <c:v>8594.3289999999506</c:v>
                </c:pt>
                <c:pt idx="18">
                  <c:v>8564.2090000000007</c:v>
                </c:pt>
                <c:pt idx="19">
                  <c:v>8528.9840000000004</c:v>
                </c:pt>
                <c:pt idx="20">
                  <c:v>8512.730999999987</c:v>
                </c:pt>
              </c:numCache>
            </c:numRef>
          </c:val>
          <c:extLst>
            <c:ext xmlns:c16="http://schemas.microsoft.com/office/drawing/2014/chart" uri="{C3380CC4-5D6E-409C-BE32-E72D297353CC}">
              <c16:uniqueId val="{00000002-F059-CB46-A481-2F7723517C73}"/>
            </c:ext>
          </c:extLst>
        </c:ser>
        <c:ser>
          <c:idx val="3"/>
          <c:order val="3"/>
          <c:tx>
            <c:strRef>
              <c:f>总排放!$E$111</c:f>
              <c:strCache>
                <c:ptCount val="1"/>
                <c:pt idx="0">
                  <c:v>运输间接排放</c:v>
                </c:pt>
              </c:strCache>
            </c:strRef>
          </c:tx>
          <c:spPr>
            <a:solidFill>
              <a:srgbClr val="0070C0"/>
            </a:solidFill>
          </c:spPr>
          <c:invertIfNegative val="0"/>
          <c:cat>
            <c:strRef>
              <c:f>总排放!$A$112:$A$132</c:f>
              <c:strCache>
                <c:ptCount val="21"/>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pt idx="14">
                  <c:v>2024年</c:v>
                </c:pt>
                <c:pt idx="15">
                  <c:v>2025年</c:v>
                </c:pt>
                <c:pt idx="16">
                  <c:v>2026年</c:v>
                </c:pt>
                <c:pt idx="17">
                  <c:v>2027年</c:v>
                </c:pt>
                <c:pt idx="18">
                  <c:v>2028年</c:v>
                </c:pt>
                <c:pt idx="19">
                  <c:v>2029年</c:v>
                </c:pt>
                <c:pt idx="20">
                  <c:v>2030年</c:v>
                </c:pt>
              </c:strCache>
            </c:strRef>
          </c:cat>
          <c:val>
            <c:numRef>
              <c:f>总排放!$E$112:$E$132</c:f>
              <c:numCache>
                <c:formatCode>General</c:formatCode>
                <c:ptCount val="21"/>
                <c:pt idx="0">
                  <c:v>986.45199999999772</c:v>
                </c:pt>
                <c:pt idx="1">
                  <c:v>1097.972</c:v>
                </c:pt>
                <c:pt idx="2">
                  <c:v>1254.6690000000001</c:v>
                </c:pt>
                <c:pt idx="3">
                  <c:v>1425.481</c:v>
                </c:pt>
                <c:pt idx="4">
                  <c:v>1342.0509999999999</c:v>
                </c:pt>
                <c:pt idx="5">
                  <c:v>1326.4870000000001</c:v>
                </c:pt>
                <c:pt idx="6">
                  <c:v>1297.3689999999999</c:v>
                </c:pt>
                <c:pt idx="7">
                  <c:v>1336.76</c:v>
                </c:pt>
                <c:pt idx="8">
                  <c:v>1365.0840000000001</c:v>
                </c:pt>
                <c:pt idx="9">
                  <c:v>1403.3140000000001</c:v>
                </c:pt>
                <c:pt idx="10">
                  <c:v>1471.39</c:v>
                </c:pt>
                <c:pt idx="11">
                  <c:v>1504.6669999999999</c:v>
                </c:pt>
                <c:pt idx="12">
                  <c:v>1548.8789999999999</c:v>
                </c:pt>
                <c:pt idx="13">
                  <c:v>1593.0909999999999</c:v>
                </c:pt>
                <c:pt idx="14">
                  <c:v>1637.3030000000001</c:v>
                </c:pt>
                <c:pt idx="15">
                  <c:v>1681.5150000000001</c:v>
                </c:pt>
                <c:pt idx="16">
                  <c:v>1725.7270000000001</c:v>
                </c:pt>
                <c:pt idx="17">
                  <c:v>1769.9390000000001</c:v>
                </c:pt>
                <c:pt idx="18">
                  <c:v>1814.1510000000001</c:v>
                </c:pt>
                <c:pt idx="19">
                  <c:v>1858.3630000000001</c:v>
                </c:pt>
                <c:pt idx="20">
                  <c:v>1902.575</c:v>
                </c:pt>
              </c:numCache>
            </c:numRef>
          </c:val>
          <c:extLst>
            <c:ext xmlns:c16="http://schemas.microsoft.com/office/drawing/2014/chart" uri="{C3380CC4-5D6E-409C-BE32-E72D297353CC}">
              <c16:uniqueId val="{00000003-F059-CB46-A481-2F7723517C73}"/>
            </c:ext>
          </c:extLst>
        </c:ser>
        <c:dLbls>
          <c:showLegendKey val="0"/>
          <c:showVal val="0"/>
          <c:showCatName val="0"/>
          <c:showSerName val="0"/>
          <c:showPercent val="0"/>
          <c:showBubbleSize val="0"/>
        </c:dLbls>
        <c:gapWidth val="150"/>
        <c:shape val="box"/>
        <c:axId val="-2083465856"/>
        <c:axId val="-1284527408"/>
        <c:axId val="0"/>
      </c:bar3DChart>
      <c:catAx>
        <c:axId val="-2083465856"/>
        <c:scaling>
          <c:orientation val="minMax"/>
        </c:scaling>
        <c:delete val="0"/>
        <c:axPos val="b"/>
        <c:numFmt formatCode="General" sourceLinked="0"/>
        <c:majorTickMark val="out"/>
        <c:minorTickMark val="none"/>
        <c:tickLblPos val="nextTo"/>
        <c:crossAx val="-1284527408"/>
        <c:crosses val="autoZero"/>
        <c:auto val="1"/>
        <c:lblAlgn val="ctr"/>
        <c:lblOffset val="100"/>
        <c:noMultiLvlLbl val="0"/>
      </c:catAx>
      <c:valAx>
        <c:axId val="-1284527408"/>
        <c:scaling>
          <c:orientation val="minMax"/>
        </c:scaling>
        <c:delete val="0"/>
        <c:axPos val="l"/>
        <c:majorGridlines/>
        <c:numFmt formatCode="General" sourceLinked="1"/>
        <c:majorTickMark val="out"/>
        <c:minorTickMark val="none"/>
        <c:tickLblPos val="nextTo"/>
        <c:crossAx val="-2083465856"/>
        <c:crosses val="autoZero"/>
        <c:crossBetween val="between"/>
      </c:valAx>
    </c:plotArea>
    <c:legend>
      <c:legendPos val="r"/>
      <c:overlay val="0"/>
      <c:txPr>
        <a:bodyPr/>
        <a:lstStyle/>
        <a:p>
          <a:pPr>
            <a:defRPr sz="800"/>
          </a:pPr>
          <a:endParaRPr lang="zh-CN"/>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7968673068564605E-2"/>
          <c:y val="4.1489236491178499E-2"/>
          <c:w val="0.77926648626714801"/>
          <c:h val="0.76837858832668404"/>
        </c:manualLayout>
      </c:layout>
      <c:bar3DChart>
        <c:barDir val="col"/>
        <c:grouping val="stacked"/>
        <c:varyColors val="0"/>
        <c:ser>
          <c:idx val="0"/>
          <c:order val="0"/>
          <c:tx>
            <c:strRef>
              <c:f>生产排放!$B$3</c:f>
              <c:strCache>
                <c:ptCount val="1"/>
                <c:pt idx="0">
                  <c:v>直接排放</c:v>
                </c:pt>
              </c:strCache>
            </c:strRef>
          </c:tx>
          <c:spPr>
            <a:solidFill>
              <a:schemeClr val="tx1"/>
            </a:solidFill>
          </c:spPr>
          <c:invertIfNegative val="0"/>
          <c:cat>
            <c:strRef>
              <c:f>生产排放!$A$4:$A$24</c:f>
              <c:strCache>
                <c:ptCount val="21"/>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pt idx="14">
                  <c:v>2024年</c:v>
                </c:pt>
                <c:pt idx="15">
                  <c:v>2025年</c:v>
                </c:pt>
                <c:pt idx="16">
                  <c:v>2026年</c:v>
                </c:pt>
                <c:pt idx="17">
                  <c:v>2027年</c:v>
                </c:pt>
                <c:pt idx="18">
                  <c:v>2028年</c:v>
                </c:pt>
                <c:pt idx="19">
                  <c:v>2029年</c:v>
                </c:pt>
                <c:pt idx="20">
                  <c:v>2030年</c:v>
                </c:pt>
              </c:strCache>
            </c:strRef>
          </c:cat>
          <c:val>
            <c:numRef>
              <c:f>生产排放!$B$4:$B$24</c:f>
              <c:numCache>
                <c:formatCode>General</c:formatCode>
                <c:ptCount val="21"/>
                <c:pt idx="0">
                  <c:v>50970.98</c:v>
                </c:pt>
                <c:pt idx="1">
                  <c:v>48850.52</c:v>
                </c:pt>
                <c:pt idx="2">
                  <c:v>55735.54</c:v>
                </c:pt>
                <c:pt idx="3">
                  <c:v>56696.97</c:v>
                </c:pt>
                <c:pt idx="4">
                  <c:v>54643.17</c:v>
                </c:pt>
                <c:pt idx="5">
                  <c:v>52430.1</c:v>
                </c:pt>
                <c:pt idx="6">
                  <c:v>46846.16</c:v>
                </c:pt>
                <c:pt idx="7">
                  <c:v>50111.26</c:v>
                </c:pt>
                <c:pt idx="8">
                  <c:v>48615.56</c:v>
                </c:pt>
                <c:pt idx="9">
                  <c:v>47136.61</c:v>
                </c:pt>
                <c:pt idx="10">
                  <c:v>45373.1</c:v>
                </c:pt>
                <c:pt idx="11">
                  <c:v>43379.32</c:v>
                </c:pt>
                <c:pt idx="12">
                  <c:v>41443.61</c:v>
                </c:pt>
                <c:pt idx="13">
                  <c:v>39488.840000000011</c:v>
                </c:pt>
                <c:pt idx="14">
                  <c:v>37536.9</c:v>
                </c:pt>
                <c:pt idx="15">
                  <c:v>35417.99</c:v>
                </c:pt>
                <c:pt idx="16">
                  <c:v>34263.57</c:v>
                </c:pt>
                <c:pt idx="17">
                  <c:v>33114.410000000003</c:v>
                </c:pt>
                <c:pt idx="18">
                  <c:v>32006.27</c:v>
                </c:pt>
                <c:pt idx="19">
                  <c:v>30894.30999999995</c:v>
                </c:pt>
                <c:pt idx="20">
                  <c:v>29786.99</c:v>
                </c:pt>
              </c:numCache>
            </c:numRef>
          </c:val>
          <c:extLst>
            <c:ext xmlns:c16="http://schemas.microsoft.com/office/drawing/2014/chart" uri="{C3380CC4-5D6E-409C-BE32-E72D297353CC}">
              <c16:uniqueId val="{00000000-6686-6449-A3CD-EB26B63DD2B3}"/>
            </c:ext>
          </c:extLst>
        </c:ser>
        <c:ser>
          <c:idx val="1"/>
          <c:order val="1"/>
          <c:tx>
            <c:strRef>
              <c:f>生产排放!$C$3</c:f>
              <c:strCache>
                <c:ptCount val="1"/>
                <c:pt idx="0">
                  <c:v>间接排放</c:v>
                </c:pt>
              </c:strCache>
            </c:strRef>
          </c:tx>
          <c:spPr>
            <a:solidFill>
              <a:srgbClr val="FFFF00"/>
            </a:solidFill>
          </c:spPr>
          <c:invertIfNegative val="0"/>
          <c:cat>
            <c:strRef>
              <c:f>生产排放!$A$4:$A$24</c:f>
              <c:strCache>
                <c:ptCount val="21"/>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pt idx="14">
                  <c:v>2024年</c:v>
                </c:pt>
                <c:pt idx="15">
                  <c:v>2025年</c:v>
                </c:pt>
                <c:pt idx="16">
                  <c:v>2026年</c:v>
                </c:pt>
                <c:pt idx="17">
                  <c:v>2027年</c:v>
                </c:pt>
                <c:pt idx="18">
                  <c:v>2028年</c:v>
                </c:pt>
                <c:pt idx="19">
                  <c:v>2029年</c:v>
                </c:pt>
                <c:pt idx="20">
                  <c:v>2030年</c:v>
                </c:pt>
              </c:strCache>
            </c:strRef>
          </c:cat>
          <c:val>
            <c:numRef>
              <c:f>生产排放!$C$4:$C$24</c:f>
              <c:numCache>
                <c:formatCode>General</c:formatCode>
                <c:ptCount val="21"/>
                <c:pt idx="0">
                  <c:v>8209.6911</c:v>
                </c:pt>
                <c:pt idx="1">
                  <c:v>8463.9838999999847</c:v>
                </c:pt>
                <c:pt idx="2">
                  <c:v>9420.689099999985</c:v>
                </c:pt>
                <c:pt idx="3">
                  <c:v>9518.3044000000009</c:v>
                </c:pt>
                <c:pt idx="4">
                  <c:v>9244.7698</c:v>
                </c:pt>
                <c:pt idx="5">
                  <c:v>8912.11</c:v>
                </c:pt>
                <c:pt idx="6">
                  <c:v>8099.1560000000054</c:v>
                </c:pt>
                <c:pt idx="7">
                  <c:v>8988.2510000000002</c:v>
                </c:pt>
                <c:pt idx="8">
                  <c:v>8852.7810000000009</c:v>
                </c:pt>
                <c:pt idx="9">
                  <c:v>8717.3099999999886</c:v>
                </c:pt>
                <c:pt idx="10">
                  <c:v>8579.5249999999851</c:v>
                </c:pt>
                <c:pt idx="11">
                  <c:v>8357.3189999999668</c:v>
                </c:pt>
                <c:pt idx="12">
                  <c:v>8139.317</c:v>
                </c:pt>
                <c:pt idx="13">
                  <c:v>7917.2050000000008</c:v>
                </c:pt>
                <c:pt idx="14">
                  <c:v>7693.18</c:v>
                </c:pt>
                <c:pt idx="15">
                  <c:v>7473.5350000000008</c:v>
                </c:pt>
                <c:pt idx="16">
                  <c:v>7302.8120000000044</c:v>
                </c:pt>
                <c:pt idx="17">
                  <c:v>7132.1880000000001</c:v>
                </c:pt>
                <c:pt idx="18">
                  <c:v>6968.46</c:v>
                </c:pt>
                <c:pt idx="19">
                  <c:v>6804.3360000000002</c:v>
                </c:pt>
                <c:pt idx="20">
                  <c:v>6640.2120000000004</c:v>
                </c:pt>
              </c:numCache>
            </c:numRef>
          </c:val>
          <c:extLst>
            <c:ext xmlns:c16="http://schemas.microsoft.com/office/drawing/2014/chart" uri="{C3380CC4-5D6E-409C-BE32-E72D297353CC}">
              <c16:uniqueId val="{00000001-6686-6449-A3CD-EB26B63DD2B3}"/>
            </c:ext>
          </c:extLst>
        </c:ser>
        <c:dLbls>
          <c:showLegendKey val="0"/>
          <c:showVal val="0"/>
          <c:showCatName val="0"/>
          <c:showSerName val="0"/>
          <c:showPercent val="0"/>
          <c:showBubbleSize val="0"/>
        </c:dLbls>
        <c:gapWidth val="150"/>
        <c:shape val="box"/>
        <c:axId val="1333571104"/>
        <c:axId val="1259282000"/>
        <c:axId val="0"/>
      </c:bar3DChart>
      <c:catAx>
        <c:axId val="1333571104"/>
        <c:scaling>
          <c:orientation val="minMax"/>
        </c:scaling>
        <c:delete val="0"/>
        <c:axPos val="b"/>
        <c:numFmt formatCode="General" sourceLinked="0"/>
        <c:majorTickMark val="out"/>
        <c:minorTickMark val="none"/>
        <c:tickLblPos val="nextTo"/>
        <c:crossAx val="1259282000"/>
        <c:crosses val="autoZero"/>
        <c:auto val="1"/>
        <c:lblAlgn val="ctr"/>
        <c:lblOffset val="100"/>
        <c:noMultiLvlLbl val="0"/>
      </c:catAx>
      <c:valAx>
        <c:axId val="1259282000"/>
        <c:scaling>
          <c:orientation val="minMax"/>
        </c:scaling>
        <c:delete val="0"/>
        <c:axPos val="l"/>
        <c:majorGridlines/>
        <c:numFmt formatCode="General" sourceLinked="1"/>
        <c:majorTickMark val="out"/>
        <c:minorTickMark val="none"/>
        <c:tickLblPos val="nextTo"/>
        <c:crossAx val="1333571104"/>
        <c:crosses val="autoZero"/>
        <c:crossBetween val="between"/>
      </c:valAx>
    </c:plotArea>
    <c:legend>
      <c:legendPos val="r"/>
      <c:overlay val="0"/>
      <c:txPr>
        <a:bodyPr/>
        <a:lstStyle/>
        <a:p>
          <a:pPr>
            <a:defRPr sz="900"/>
          </a:pPr>
          <a:endParaRPr lang="zh-CN"/>
        </a:p>
      </c:txPr>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9002867726705301E-2"/>
          <c:y val="2.3405761473963199E-2"/>
          <c:w val="0.76967865918185996"/>
          <c:h val="0.78860050434714302"/>
        </c:manualLayout>
      </c:layout>
      <c:bar3DChart>
        <c:barDir val="col"/>
        <c:grouping val="stacked"/>
        <c:varyColors val="0"/>
        <c:ser>
          <c:idx val="0"/>
          <c:order val="0"/>
          <c:tx>
            <c:strRef>
              <c:f>运输排放!$B$53</c:f>
              <c:strCache>
                <c:ptCount val="1"/>
                <c:pt idx="0">
                  <c:v>直接排放</c:v>
                </c:pt>
              </c:strCache>
            </c:strRef>
          </c:tx>
          <c:spPr>
            <a:solidFill>
              <a:srgbClr val="FF0000"/>
            </a:solidFill>
          </c:spPr>
          <c:invertIfNegative val="0"/>
          <c:cat>
            <c:strRef>
              <c:f>运输排放!$A$54:$A$74</c:f>
              <c:strCache>
                <c:ptCount val="21"/>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pt idx="14">
                  <c:v>2024年</c:v>
                </c:pt>
                <c:pt idx="15">
                  <c:v>2025年</c:v>
                </c:pt>
                <c:pt idx="16">
                  <c:v>2026年</c:v>
                </c:pt>
                <c:pt idx="17">
                  <c:v>2027年</c:v>
                </c:pt>
                <c:pt idx="18">
                  <c:v>2028年</c:v>
                </c:pt>
                <c:pt idx="19">
                  <c:v>2029年</c:v>
                </c:pt>
                <c:pt idx="20">
                  <c:v>2030年</c:v>
                </c:pt>
              </c:strCache>
            </c:strRef>
          </c:cat>
          <c:val>
            <c:numRef>
              <c:f>运输排放!$B$54:$B$74</c:f>
              <c:numCache>
                <c:formatCode>General</c:formatCode>
                <c:ptCount val="21"/>
                <c:pt idx="0">
                  <c:v>7826.1</c:v>
                </c:pt>
                <c:pt idx="1">
                  <c:v>8979.1990000000005</c:v>
                </c:pt>
                <c:pt idx="2">
                  <c:v>10138.1</c:v>
                </c:pt>
                <c:pt idx="3">
                  <c:v>11363.44999999999</c:v>
                </c:pt>
                <c:pt idx="4">
                  <c:v>10936.81</c:v>
                </c:pt>
                <c:pt idx="5">
                  <c:v>10520.76</c:v>
                </c:pt>
                <c:pt idx="6">
                  <c:v>10145.39</c:v>
                </c:pt>
                <c:pt idx="7">
                  <c:v>10372</c:v>
                </c:pt>
                <c:pt idx="8">
                  <c:v>9963.8367500000004</c:v>
                </c:pt>
                <c:pt idx="9">
                  <c:v>9687.9338333333271</c:v>
                </c:pt>
                <c:pt idx="10">
                  <c:v>9430.9009166666456</c:v>
                </c:pt>
                <c:pt idx="11">
                  <c:v>9166.6280000000006</c:v>
                </c:pt>
                <c:pt idx="12">
                  <c:v>8845.8750833333033</c:v>
                </c:pt>
                <c:pt idx="13">
                  <c:v>8514.9421666666713</c:v>
                </c:pt>
                <c:pt idx="14">
                  <c:v>8234.4342500000148</c:v>
                </c:pt>
                <c:pt idx="15">
                  <c:v>7947.1473333333306</c:v>
                </c:pt>
                <c:pt idx="16">
                  <c:v>7588.7464166666714</c:v>
                </c:pt>
                <c:pt idx="17">
                  <c:v>7225.2245000000012</c:v>
                </c:pt>
                <c:pt idx="18">
                  <c:v>6790.4865833333297</c:v>
                </c:pt>
                <c:pt idx="19">
                  <c:v>6529.2936666666801</c:v>
                </c:pt>
                <c:pt idx="20">
                  <c:v>6090.4927500000003</c:v>
                </c:pt>
              </c:numCache>
            </c:numRef>
          </c:val>
          <c:extLst>
            <c:ext xmlns:c16="http://schemas.microsoft.com/office/drawing/2014/chart" uri="{C3380CC4-5D6E-409C-BE32-E72D297353CC}">
              <c16:uniqueId val="{00000000-94EC-3D4B-9989-238680F9FDE8}"/>
            </c:ext>
          </c:extLst>
        </c:ser>
        <c:ser>
          <c:idx val="1"/>
          <c:order val="1"/>
          <c:tx>
            <c:strRef>
              <c:f>运输排放!$C$53</c:f>
              <c:strCache>
                <c:ptCount val="1"/>
                <c:pt idx="0">
                  <c:v>间接排放</c:v>
                </c:pt>
              </c:strCache>
            </c:strRef>
          </c:tx>
          <c:spPr>
            <a:solidFill>
              <a:srgbClr val="0070C0"/>
            </a:solidFill>
          </c:spPr>
          <c:invertIfNegative val="0"/>
          <c:cat>
            <c:strRef>
              <c:f>运输排放!$A$54:$A$74</c:f>
              <c:strCache>
                <c:ptCount val="21"/>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pt idx="14">
                  <c:v>2024年</c:v>
                </c:pt>
                <c:pt idx="15">
                  <c:v>2025年</c:v>
                </c:pt>
                <c:pt idx="16">
                  <c:v>2026年</c:v>
                </c:pt>
                <c:pt idx="17">
                  <c:v>2027年</c:v>
                </c:pt>
                <c:pt idx="18">
                  <c:v>2028年</c:v>
                </c:pt>
                <c:pt idx="19">
                  <c:v>2029年</c:v>
                </c:pt>
                <c:pt idx="20">
                  <c:v>2030年</c:v>
                </c:pt>
              </c:strCache>
            </c:strRef>
          </c:cat>
          <c:val>
            <c:numRef>
              <c:f>运输排放!$C$54:$C$74</c:f>
              <c:numCache>
                <c:formatCode>General</c:formatCode>
                <c:ptCount val="21"/>
                <c:pt idx="0">
                  <c:v>986.45199999999852</c:v>
                </c:pt>
                <c:pt idx="1">
                  <c:v>1097.972</c:v>
                </c:pt>
                <c:pt idx="2">
                  <c:v>1254.6690000000001</c:v>
                </c:pt>
                <c:pt idx="3">
                  <c:v>1425.481</c:v>
                </c:pt>
                <c:pt idx="4">
                  <c:v>1342.0509999999999</c:v>
                </c:pt>
                <c:pt idx="5">
                  <c:v>1326.4870000000001</c:v>
                </c:pt>
                <c:pt idx="6">
                  <c:v>1297.3689999999999</c:v>
                </c:pt>
                <c:pt idx="7">
                  <c:v>1336.76</c:v>
                </c:pt>
                <c:pt idx="8">
                  <c:v>1450.25325</c:v>
                </c:pt>
                <c:pt idx="9">
                  <c:v>1492.8861666666701</c:v>
                </c:pt>
                <c:pt idx="10">
                  <c:v>1535.5190833333299</c:v>
                </c:pt>
                <c:pt idx="11">
                  <c:v>1578.152</c:v>
                </c:pt>
                <c:pt idx="12">
                  <c:v>1620.7849166666699</c:v>
                </c:pt>
                <c:pt idx="13">
                  <c:v>1663.41783333333</c:v>
                </c:pt>
                <c:pt idx="14">
                  <c:v>1706.0507500000001</c:v>
                </c:pt>
                <c:pt idx="15">
                  <c:v>1748.68366666667</c:v>
                </c:pt>
                <c:pt idx="16">
                  <c:v>1791.3165833333301</c:v>
                </c:pt>
                <c:pt idx="17">
                  <c:v>1833.9494999999999</c:v>
                </c:pt>
                <c:pt idx="18">
                  <c:v>1876.58241666667</c:v>
                </c:pt>
                <c:pt idx="19">
                  <c:v>1919.2153333333299</c:v>
                </c:pt>
                <c:pt idx="20">
                  <c:v>1961.84825</c:v>
                </c:pt>
              </c:numCache>
            </c:numRef>
          </c:val>
          <c:extLst>
            <c:ext xmlns:c16="http://schemas.microsoft.com/office/drawing/2014/chart" uri="{C3380CC4-5D6E-409C-BE32-E72D297353CC}">
              <c16:uniqueId val="{00000001-94EC-3D4B-9989-238680F9FDE8}"/>
            </c:ext>
          </c:extLst>
        </c:ser>
        <c:dLbls>
          <c:showLegendKey val="0"/>
          <c:showVal val="0"/>
          <c:showCatName val="0"/>
          <c:showSerName val="0"/>
          <c:showPercent val="0"/>
          <c:showBubbleSize val="0"/>
        </c:dLbls>
        <c:gapWidth val="150"/>
        <c:shape val="box"/>
        <c:axId val="-1030234144"/>
        <c:axId val="-2083733136"/>
        <c:axId val="0"/>
      </c:bar3DChart>
      <c:catAx>
        <c:axId val="-1030234144"/>
        <c:scaling>
          <c:orientation val="minMax"/>
        </c:scaling>
        <c:delete val="0"/>
        <c:axPos val="b"/>
        <c:numFmt formatCode="General" sourceLinked="0"/>
        <c:majorTickMark val="out"/>
        <c:minorTickMark val="none"/>
        <c:tickLblPos val="nextTo"/>
        <c:crossAx val="-2083733136"/>
        <c:crosses val="autoZero"/>
        <c:auto val="1"/>
        <c:lblAlgn val="ctr"/>
        <c:lblOffset val="100"/>
        <c:noMultiLvlLbl val="0"/>
      </c:catAx>
      <c:valAx>
        <c:axId val="-2083733136"/>
        <c:scaling>
          <c:orientation val="minMax"/>
        </c:scaling>
        <c:delete val="0"/>
        <c:axPos val="l"/>
        <c:majorGridlines/>
        <c:numFmt formatCode="General" sourceLinked="1"/>
        <c:majorTickMark val="out"/>
        <c:minorTickMark val="none"/>
        <c:tickLblPos val="nextTo"/>
        <c:crossAx val="-1030234144"/>
        <c:crosses val="autoZero"/>
        <c:crossBetween val="between"/>
      </c:valAx>
    </c:plotArea>
    <c:legend>
      <c:legendPos val="r"/>
      <c:overlay val="0"/>
      <c:txPr>
        <a:bodyPr/>
        <a:lstStyle/>
        <a:p>
          <a:pPr>
            <a:defRPr sz="900"/>
          </a:pPr>
          <a:endParaRPr lang="zh-CN"/>
        </a:p>
      </c:txPr>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9.9673035629940093E-2"/>
          <c:y val="4.2142078358048403E-2"/>
          <c:w val="0.752091847527388"/>
          <c:h val="0.76473397667334697"/>
        </c:manualLayout>
      </c:layout>
      <c:bar3DChart>
        <c:barDir val="col"/>
        <c:grouping val="stacked"/>
        <c:varyColors val="0"/>
        <c:ser>
          <c:idx val="0"/>
          <c:order val="0"/>
          <c:tx>
            <c:strRef>
              <c:f>总排放!$B$129</c:f>
              <c:strCache>
                <c:ptCount val="1"/>
                <c:pt idx="0">
                  <c:v>生产直接排放</c:v>
                </c:pt>
              </c:strCache>
            </c:strRef>
          </c:tx>
          <c:spPr>
            <a:solidFill>
              <a:schemeClr val="tx1"/>
            </a:solidFill>
          </c:spPr>
          <c:invertIfNegative val="0"/>
          <c:cat>
            <c:strRef>
              <c:f>总排放!$A$130:$A$150</c:f>
              <c:strCache>
                <c:ptCount val="21"/>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pt idx="14">
                  <c:v>2024年</c:v>
                </c:pt>
                <c:pt idx="15">
                  <c:v>2025年</c:v>
                </c:pt>
                <c:pt idx="16">
                  <c:v>2026年</c:v>
                </c:pt>
                <c:pt idx="17">
                  <c:v>2027年</c:v>
                </c:pt>
                <c:pt idx="18">
                  <c:v>2028年</c:v>
                </c:pt>
                <c:pt idx="19">
                  <c:v>2029年</c:v>
                </c:pt>
                <c:pt idx="20">
                  <c:v>2030年</c:v>
                </c:pt>
              </c:strCache>
            </c:strRef>
          </c:cat>
          <c:val>
            <c:numRef>
              <c:f>总排放!$B$130:$B$150</c:f>
              <c:numCache>
                <c:formatCode>General</c:formatCode>
                <c:ptCount val="21"/>
                <c:pt idx="0">
                  <c:v>50970.98</c:v>
                </c:pt>
                <c:pt idx="1">
                  <c:v>48850.52</c:v>
                </c:pt>
                <c:pt idx="2">
                  <c:v>55735.54</c:v>
                </c:pt>
                <c:pt idx="3">
                  <c:v>56696.97</c:v>
                </c:pt>
                <c:pt idx="4">
                  <c:v>54643.17</c:v>
                </c:pt>
                <c:pt idx="5">
                  <c:v>52430.1</c:v>
                </c:pt>
                <c:pt idx="6">
                  <c:v>46846.16</c:v>
                </c:pt>
                <c:pt idx="7">
                  <c:v>50111.26</c:v>
                </c:pt>
                <c:pt idx="8">
                  <c:v>48615.56</c:v>
                </c:pt>
                <c:pt idx="9">
                  <c:v>47136.61</c:v>
                </c:pt>
                <c:pt idx="10">
                  <c:v>45373.1</c:v>
                </c:pt>
                <c:pt idx="11">
                  <c:v>43379.32</c:v>
                </c:pt>
                <c:pt idx="12">
                  <c:v>41443.61</c:v>
                </c:pt>
                <c:pt idx="13">
                  <c:v>39488.840000000011</c:v>
                </c:pt>
                <c:pt idx="14">
                  <c:v>37536.9</c:v>
                </c:pt>
                <c:pt idx="15">
                  <c:v>35417.99</c:v>
                </c:pt>
                <c:pt idx="16">
                  <c:v>34263.57</c:v>
                </c:pt>
                <c:pt idx="17">
                  <c:v>33114.410000000003</c:v>
                </c:pt>
                <c:pt idx="18">
                  <c:v>32006.27</c:v>
                </c:pt>
                <c:pt idx="19">
                  <c:v>30894.30999999995</c:v>
                </c:pt>
                <c:pt idx="20">
                  <c:v>29786.99</c:v>
                </c:pt>
              </c:numCache>
            </c:numRef>
          </c:val>
          <c:extLst>
            <c:ext xmlns:c16="http://schemas.microsoft.com/office/drawing/2014/chart" uri="{C3380CC4-5D6E-409C-BE32-E72D297353CC}">
              <c16:uniqueId val="{00000000-7EEF-064C-B3D3-E0214A4D0616}"/>
            </c:ext>
          </c:extLst>
        </c:ser>
        <c:ser>
          <c:idx val="1"/>
          <c:order val="1"/>
          <c:tx>
            <c:strRef>
              <c:f>总排放!$C$129</c:f>
              <c:strCache>
                <c:ptCount val="1"/>
                <c:pt idx="0">
                  <c:v>生产间接排放</c:v>
                </c:pt>
              </c:strCache>
            </c:strRef>
          </c:tx>
          <c:spPr>
            <a:solidFill>
              <a:srgbClr val="FFFF00"/>
            </a:solidFill>
          </c:spPr>
          <c:invertIfNegative val="0"/>
          <c:cat>
            <c:strRef>
              <c:f>总排放!$A$130:$A$150</c:f>
              <c:strCache>
                <c:ptCount val="21"/>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pt idx="14">
                  <c:v>2024年</c:v>
                </c:pt>
                <c:pt idx="15">
                  <c:v>2025年</c:v>
                </c:pt>
                <c:pt idx="16">
                  <c:v>2026年</c:v>
                </c:pt>
                <c:pt idx="17">
                  <c:v>2027年</c:v>
                </c:pt>
                <c:pt idx="18">
                  <c:v>2028年</c:v>
                </c:pt>
                <c:pt idx="19">
                  <c:v>2029年</c:v>
                </c:pt>
                <c:pt idx="20">
                  <c:v>2030年</c:v>
                </c:pt>
              </c:strCache>
            </c:strRef>
          </c:cat>
          <c:val>
            <c:numRef>
              <c:f>总排放!$C$130:$C$150</c:f>
              <c:numCache>
                <c:formatCode>General</c:formatCode>
                <c:ptCount val="21"/>
                <c:pt idx="0">
                  <c:v>8209.6911</c:v>
                </c:pt>
                <c:pt idx="1">
                  <c:v>8463.9838999999847</c:v>
                </c:pt>
                <c:pt idx="2">
                  <c:v>9420.689099999985</c:v>
                </c:pt>
                <c:pt idx="3">
                  <c:v>9518.3044000000009</c:v>
                </c:pt>
                <c:pt idx="4">
                  <c:v>9244.7698</c:v>
                </c:pt>
                <c:pt idx="5">
                  <c:v>8912.11</c:v>
                </c:pt>
                <c:pt idx="6">
                  <c:v>8099.1560000000054</c:v>
                </c:pt>
                <c:pt idx="7">
                  <c:v>8988.2510000000002</c:v>
                </c:pt>
                <c:pt idx="8">
                  <c:v>8852.7810000000009</c:v>
                </c:pt>
                <c:pt idx="9">
                  <c:v>8717.3099999999886</c:v>
                </c:pt>
                <c:pt idx="10">
                  <c:v>8579.5249999999851</c:v>
                </c:pt>
                <c:pt idx="11">
                  <c:v>8357.3189999999668</c:v>
                </c:pt>
                <c:pt idx="12">
                  <c:v>8139.317</c:v>
                </c:pt>
                <c:pt idx="13">
                  <c:v>7917.2050000000008</c:v>
                </c:pt>
                <c:pt idx="14">
                  <c:v>7693.18</c:v>
                </c:pt>
                <c:pt idx="15">
                  <c:v>7473.5350000000008</c:v>
                </c:pt>
                <c:pt idx="16">
                  <c:v>7302.8120000000044</c:v>
                </c:pt>
                <c:pt idx="17">
                  <c:v>7132.1880000000001</c:v>
                </c:pt>
                <c:pt idx="18">
                  <c:v>6968.46</c:v>
                </c:pt>
                <c:pt idx="19">
                  <c:v>6804.3360000000002</c:v>
                </c:pt>
                <c:pt idx="20">
                  <c:v>6640.2120000000004</c:v>
                </c:pt>
              </c:numCache>
            </c:numRef>
          </c:val>
          <c:extLst>
            <c:ext xmlns:c16="http://schemas.microsoft.com/office/drawing/2014/chart" uri="{C3380CC4-5D6E-409C-BE32-E72D297353CC}">
              <c16:uniqueId val="{00000001-7EEF-064C-B3D3-E0214A4D0616}"/>
            </c:ext>
          </c:extLst>
        </c:ser>
        <c:ser>
          <c:idx val="2"/>
          <c:order val="2"/>
          <c:tx>
            <c:strRef>
              <c:f>总排放!$D$129</c:f>
              <c:strCache>
                <c:ptCount val="1"/>
                <c:pt idx="0">
                  <c:v>运输直接排放</c:v>
                </c:pt>
              </c:strCache>
            </c:strRef>
          </c:tx>
          <c:spPr>
            <a:solidFill>
              <a:srgbClr val="FF0000"/>
            </a:solidFill>
          </c:spPr>
          <c:invertIfNegative val="0"/>
          <c:cat>
            <c:strRef>
              <c:f>总排放!$A$130:$A$150</c:f>
              <c:strCache>
                <c:ptCount val="21"/>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pt idx="14">
                  <c:v>2024年</c:v>
                </c:pt>
                <c:pt idx="15">
                  <c:v>2025年</c:v>
                </c:pt>
                <c:pt idx="16">
                  <c:v>2026年</c:v>
                </c:pt>
                <c:pt idx="17">
                  <c:v>2027年</c:v>
                </c:pt>
                <c:pt idx="18">
                  <c:v>2028年</c:v>
                </c:pt>
                <c:pt idx="19">
                  <c:v>2029年</c:v>
                </c:pt>
                <c:pt idx="20">
                  <c:v>2030年</c:v>
                </c:pt>
              </c:strCache>
            </c:strRef>
          </c:cat>
          <c:val>
            <c:numRef>
              <c:f>总排放!$D$130:$D$150</c:f>
              <c:numCache>
                <c:formatCode>General</c:formatCode>
                <c:ptCount val="21"/>
                <c:pt idx="0">
                  <c:v>7826.1</c:v>
                </c:pt>
                <c:pt idx="1">
                  <c:v>8979.1990000000005</c:v>
                </c:pt>
                <c:pt idx="2">
                  <c:v>10138.1</c:v>
                </c:pt>
                <c:pt idx="3">
                  <c:v>11363.44999999999</c:v>
                </c:pt>
                <c:pt idx="4">
                  <c:v>10936.81</c:v>
                </c:pt>
                <c:pt idx="5">
                  <c:v>10520.76</c:v>
                </c:pt>
                <c:pt idx="6">
                  <c:v>10145.39</c:v>
                </c:pt>
                <c:pt idx="7">
                  <c:v>10372</c:v>
                </c:pt>
                <c:pt idx="8">
                  <c:v>9963.8369999999668</c:v>
                </c:pt>
                <c:pt idx="9">
                  <c:v>9687.9339999999847</c:v>
                </c:pt>
                <c:pt idx="10">
                  <c:v>9430.9009999999689</c:v>
                </c:pt>
                <c:pt idx="11">
                  <c:v>9166.6280000000006</c:v>
                </c:pt>
                <c:pt idx="12">
                  <c:v>8845.8749999999727</c:v>
                </c:pt>
                <c:pt idx="13">
                  <c:v>8514.9419999999845</c:v>
                </c:pt>
                <c:pt idx="14">
                  <c:v>8234.4339999999847</c:v>
                </c:pt>
                <c:pt idx="15">
                  <c:v>7947.1470000000018</c:v>
                </c:pt>
                <c:pt idx="16">
                  <c:v>7588.7460000000001</c:v>
                </c:pt>
                <c:pt idx="17">
                  <c:v>7225.2250000000004</c:v>
                </c:pt>
                <c:pt idx="18">
                  <c:v>6790.4870000000001</c:v>
                </c:pt>
                <c:pt idx="19">
                  <c:v>6529.2940000000008</c:v>
                </c:pt>
                <c:pt idx="20">
                  <c:v>6090.4930000000004</c:v>
                </c:pt>
              </c:numCache>
            </c:numRef>
          </c:val>
          <c:extLst>
            <c:ext xmlns:c16="http://schemas.microsoft.com/office/drawing/2014/chart" uri="{C3380CC4-5D6E-409C-BE32-E72D297353CC}">
              <c16:uniqueId val="{00000002-7EEF-064C-B3D3-E0214A4D0616}"/>
            </c:ext>
          </c:extLst>
        </c:ser>
        <c:ser>
          <c:idx val="3"/>
          <c:order val="3"/>
          <c:tx>
            <c:strRef>
              <c:f>总排放!$E$129</c:f>
              <c:strCache>
                <c:ptCount val="1"/>
                <c:pt idx="0">
                  <c:v>运输间接排放</c:v>
                </c:pt>
              </c:strCache>
            </c:strRef>
          </c:tx>
          <c:spPr>
            <a:solidFill>
              <a:srgbClr val="0070C0"/>
            </a:solidFill>
          </c:spPr>
          <c:invertIfNegative val="0"/>
          <c:cat>
            <c:strRef>
              <c:f>总排放!$A$130:$A$150</c:f>
              <c:strCache>
                <c:ptCount val="21"/>
                <c:pt idx="0">
                  <c:v>2010年</c:v>
                </c:pt>
                <c:pt idx="1">
                  <c:v>2011年</c:v>
                </c:pt>
                <c:pt idx="2">
                  <c:v>2012年</c:v>
                </c:pt>
                <c:pt idx="3">
                  <c:v>2013年</c:v>
                </c:pt>
                <c:pt idx="4">
                  <c:v>2014年</c:v>
                </c:pt>
                <c:pt idx="5">
                  <c:v>2015年</c:v>
                </c:pt>
                <c:pt idx="6">
                  <c:v>2016年</c:v>
                </c:pt>
                <c:pt idx="7">
                  <c:v>2017年</c:v>
                </c:pt>
                <c:pt idx="8">
                  <c:v>2018年</c:v>
                </c:pt>
                <c:pt idx="9">
                  <c:v>2019年</c:v>
                </c:pt>
                <c:pt idx="10">
                  <c:v>2020年</c:v>
                </c:pt>
                <c:pt idx="11">
                  <c:v>2021年</c:v>
                </c:pt>
                <c:pt idx="12">
                  <c:v>2022年</c:v>
                </c:pt>
                <c:pt idx="13">
                  <c:v>2023年</c:v>
                </c:pt>
                <c:pt idx="14">
                  <c:v>2024年</c:v>
                </c:pt>
                <c:pt idx="15">
                  <c:v>2025年</c:v>
                </c:pt>
                <c:pt idx="16">
                  <c:v>2026年</c:v>
                </c:pt>
                <c:pt idx="17">
                  <c:v>2027年</c:v>
                </c:pt>
                <c:pt idx="18">
                  <c:v>2028年</c:v>
                </c:pt>
                <c:pt idx="19">
                  <c:v>2029年</c:v>
                </c:pt>
                <c:pt idx="20">
                  <c:v>2030年</c:v>
                </c:pt>
              </c:strCache>
            </c:strRef>
          </c:cat>
          <c:val>
            <c:numRef>
              <c:f>总排放!$E$130:$E$150</c:f>
              <c:numCache>
                <c:formatCode>General</c:formatCode>
                <c:ptCount val="21"/>
                <c:pt idx="0">
                  <c:v>986.45199999999852</c:v>
                </c:pt>
                <c:pt idx="1">
                  <c:v>1097.972</c:v>
                </c:pt>
                <c:pt idx="2">
                  <c:v>1254.6690000000001</c:v>
                </c:pt>
                <c:pt idx="3">
                  <c:v>1425.481</c:v>
                </c:pt>
                <c:pt idx="4">
                  <c:v>1342.0509999999999</c:v>
                </c:pt>
                <c:pt idx="5">
                  <c:v>1326.4870000000001</c:v>
                </c:pt>
                <c:pt idx="6">
                  <c:v>1297.3689999999999</c:v>
                </c:pt>
                <c:pt idx="7">
                  <c:v>1336.76</c:v>
                </c:pt>
                <c:pt idx="8">
                  <c:v>1450.2529999999999</c:v>
                </c:pt>
                <c:pt idx="9">
                  <c:v>1492.886</c:v>
                </c:pt>
                <c:pt idx="10">
                  <c:v>1535.519</c:v>
                </c:pt>
                <c:pt idx="11">
                  <c:v>1578.152</c:v>
                </c:pt>
                <c:pt idx="12">
                  <c:v>1620.7850000000001</c:v>
                </c:pt>
                <c:pt idx="13">
                  <c:v>1663.4179999999999</c:v>
                </c:pt>
                <c:pt idx="14">
                  <c:v>1706.0509999999999</c:v>
                </c:pt>
                <c:pt idx="15">
                  <c:v>1748.6839999999979</c:v>
                </c:pt>
                <c:pt idx="16">
                  <c:v>1791.317</c:v>
                </c:pt>
                <c:pt idx="17">
                  <c:v>1833.95</c:v>
                </c:pt>
                <c:pt idx="18">
                  <c:v>1876.5820000000001</c:v>
                </c:pt>
                <c:pt idx="19">
                  <c:v>1919.2149999999999</c:v>
                </c:pt>
                <c:pt idx="20">
                  <c:v>1961.848</c:v>
                </c:pt>
              </c:numCache>
            </c:numRef>
          </c:val>
          <c:extLst>
            <c:ext xmlns:c16="http://schemas.microsoft.com/office/drawing/2014/chart" uri="{C3380CC4-5D6E-409C-BE32-E72D297353CC}">
              <c16:uniqueId val="{00000003-7EEF-064C-B3D3-E0214A4D0616}"/>
            </c:ext>
          </c:extLst>
        </c:ser>
        <c:dLbls>
          <c:showLegendKey val="0"/>
          <c:showVal val="0"/>
          <c:showCatName val="0"/>
          <c:showSerName val="0"/>
          <c:showPercent val="0"/>
          <c:showBubbleSize val="0"/>
        </c:dLbls>
        <c:gapWidth val="150"/>
        <c:shape val="box"/>
        <c:axId val="-2092070016"/>
        <c:axId val="-2092312768"/>
        <c:axId val="0"/>
      </c:bar3DChart>
      <c:catAx>
        <c:axId val="-2092070016"/>
        <c:scaling>
          <c:orientation val="minMax"/>
        </c:scaling>
        <c:delete val="0"/>
        <c:axPos val="b"/>
        <c:numFmt formatCode="General" sourceLinked="0"/>
        <c:majorTickMark val="out"/>
        <c:minorTickMark val="none"/>
        <c:tickLblPos val="nextTo"/>
        <c:crossAx val="-2092312768"/>
        <c:crosses val="autoZero"/>
        <c:auto val="1"/>
        <c:lblAlgn val="ctr"/>
        <c:lblOffset val="100"/>
        <c:noMultiLvlLbl val="0"/>
      </c:catAx>
      <c:valAx>
        <c:axId val="-2092312768"/>
        <c:scaling>
          <c:orientation val="minMax"/>
        </c:scaling>
        <c:delete val="0"/>
        <c:axPos val="l"/>
        <c:majorGridlines/>
        <c:numFmt formatCode="General" sourceLinked="1"/>
        <c:majorTickMark val="out"/>
        <c:minorTickMark val="none"/>
        <c:tickLblPos val="nextTo"/>
        <c:crossAx val="-2092070016"/>
        <c:crosses val="autoZero"/>
        <c:crossBetween val="between"/>
      </c:valAx>
    </c:plotArea>
    <c:legend>
      <c:legendPos val="r"/>
      <c:layout>
        <c:manualLayout>
          <c:xMode val="edge"/>
          <c:yMode val="edge"/>
          <c:x val="0.84595216178023003"/>
          <c:y val="0.381062395692364"/>
          <c:w val="0.154047838219769"/>
          <c:h val="0.237875208615273"/>
        </c:manualLayout>
      </c:layout>
      <c:overlay val="0"/>
      <c:txPr>
        <a:bodyPr/>
        <a:lstStyle/>
        <a:p>
          <a:pPr>
            <a:defRPr sz="800"/>
          </a:pPr>
          <a:endParaRPr lang="zh-CN"/>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2912D0-13B2-7D42-9376-B3427EA2C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18</Pages>
  <Words>1625</Words>
  <Characters>9266</Characters>
  <Application>Microsoft Office Word</Application>
  <DocSecurity>0</DocSecurity>
  <Lines>77</Lines>
  <Paragraphs>21</Paragraphs>
  <ScaleCrop>false</ScaleCrop>
  <Company>Microsoft</Company>
  <LinksUpToDate>false</LinksUpToDate>
  <CharactersWithSpaces>10870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Haoyang Zhou</cp:lastModifiedBy>
  <cp:revision>71</cp:revision>
  <cp:lastPrinted>2018-01-02T08:06:00Z</cp:lastPrinted>
  <dcterms:created xsi:type="dcterms:W3CDTF">2017-12-31T08:28:00Z</dcterms:created>
  <dcterms:modified xsi:type="dcterms:W3CDTF">2025-05-07T07:54:00Z</dcterms:modified>
</cp:coreProperties>
</file>